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7CF" w14:textId="2F27DECB" w:rsidR="001315D6" w:rsidRPr="00D24FDB" w:rsidRDefault="0087037A" w:rsidP="00D24FDB">
      <w:pPr>
        <w:jc w:val="center"/>
        <w:rPr>
          <w:b/>
          <w:bCs/>
        </w:rPr>
      </w:pPr>
      <w:r w:rsidRPr="00D24FDB">
        <w:rPr>
          <w:b/>
          <w:bCs/>
        </w:rPr>
        <w:t>Grille d’analyse « L’Affaire du Siècle »</w:t>
      </w:r>
    </w:p>
    <w:p w14:paraId="72D13762" w14:textId="69BFC6F7" w:rsidR="0087037A" w:rsidRDefault="00D24FDB" w:rsidP="00D24FDB">
      <w:r>
        <w:t>Visitez le site « </w:t>
      </w:r>
      <w:hyperlink r:id="rId7" w:history="1">
        <w:r w:rsidRPr="00D24FDB">
          <w:rPr>
            <w:rStyle w:val="Lienhypertexte"/>
          </w:rPr>
          <w:t>L’Affaire du Siècle </w:t>
        </w:r>
      </w:hyperlink>
      <w:r>
        <w:t xml:space="preserve">» et répondez aux questions. </w:t>
      </w:r>
    </w:p>
    <w:p w14:paraId="7AE4984F" w14:textId="5F8C68D7" w:rsidR="00D24FDB" w:rsidRPr="00D24FDB" w:rsidRDefault="00D62572" w:rsidP="00D24FDB">
      <w:pPr>
        <w:pStyle w:val="Paragraphedeliste"/>
        <w:numPr>
          <w:ilvl w:val="0"/>
          <w:numId w:val="2"/>
        </w:numPr>
        <w:rPr>
          <w:b/>
          <w:bCs/>
        </w:rPr>
      </w:pPr>
      <w:r>
        <w:rPr>
          <w:b/>
          <w:bCs/>
        </w:rPr>
        <w:t xml:space="preserve">Temporalité </w:t>
      </w:r>
    </w:p>
    <w:tbl>
      <w:tblPr>
        <w:tblStyle w:val="Grilledutableau"/>
        <w:tblW w:w="0" w:type="auto"/>
        <w:tblLook w:val="04A0" w:firstRow="1" w:lastRow="0" w:firstColumn="1" w:lastColumn="0" w:noHBand="0" w:noVBand="1"/>
      </w:tblPr>
      <w:tblGrid>
        <w:gridCol w:w="4531"/>
        <w:gridCol w:w="4531"/>
      </w:tblGrid>
      <w:tr w:rsidR="00D24FDB" w14:paraId="6FD77C13" w14:textId="77777777" w:rsidTr="00D24FDB">
        <w:tc>
          <w:tcPr>
            <w:tcW w:w="4531" w:type="dxa"/>
            <w:shd w:val="clear" w:color="auto" w:fill="45B0E1" w:themeFill="accent1" w:themeFillTint="99"/>
          </w:tcPr>
          <w:p w14:paraId="0313CEAD" w14:textId="66999DE6" w:rsidR="00D24FDB" w:rsidRPr="00D24FDB" w:rsidRDefault="00D24FDB" w:rsidP="00D24FDB">
            <w:pPr>
              <w:jc w:val="center"/>
              <w:rPr>
                <w:color w:val="FFFFFF" w:themeColor="background1"/>
              </w:rPr>
            </w:pPr>
            <w:r w:rsidRPr="00D24FDB">
              <w:rPr>
                <w:color w:val="FFFFFF" w:themeColor="background1"/>
              </w:rPr>
              <w:t>Questions d’analyse</w:t>
            </w:r>
          </w:p>
        </w:tc>
        <w:tc>
          <w:tcPr>
            <w:tcW w:w="4531" w:type="dxa"/>
            <w:shd w:val="clear" w:color="auto" w:fill="45B0E1" w:themeFill="accent1" w:themeFillTint="99"/>
          </w:tcPr>
          <w:p w14:paraId="29EC787F" w14:textId="02419BD9" w:rsidR="00D24FDB" w:rsidRPr="00D24FDB" w:rsidRDefault="00D24FDB" w:rsidP="00D24FDB">
            <w:pPr>
              <w:jc w:val="center"/>
              <w:rPr>
                <w:color w:val="FFFFFF" w:themeColor="background1"/>
              </w:rPr>
            </w:pPr>
            <w:r w:rsidRPr="00D24FDB">
              <w:rPr>
                <w:color w:val="FFFFFF" w:themeColor="background1"/>
              </w:rPr>
              <w:t>Réponses</w:t>
            </w:r>
          </w:p>
        </w:tc>
      </w:tr>
      <w:tr w:rsidR="00D24FDB" w14:paraId="38888F77" w14:textId="77777777" w:rsidTr="00D24FDB">
        <w:trPr>
          <w:trHeight w:val="965"/>
        </w:trPr>
        <w:tc>
          <w:tcPr>
            <w:tcW w:w="4531" w:type="dxa"/>
          </w:tcPr>
          <w:p w14:paraId="38BFD0E0" w14:textId="18639DB0" w:rsidR="00D24FDB" w:rsidRDefault="00AA7E69">
            <w:r>
              <w:t xml:space="preserve">Quand et comment débute « l’Affaire du siècle » ? Dans quel contexte ? </w:t>
            </w:r>
          </w:p>
        </w:tc>
        <w:tc>
          <w:tcPr>
            <w:tcW w:w="4531" w:type="dxa"/>
          </w:tcPr>
          <w:p w14:paraId="2DBE922A" w14:textId="77777777" w:rsidR="00D24FDB" w:rsidRPr="005A594C" w:rsidRDefault="00B8567F">
            <w:pPr>
              <w:rPr>
                <w:i/>
                <w:iCs/>
                <w:color w:val="747474" w:themeColor="background2" w:themeShade="80"/>
              </w:rPr>
            </w:pPr>
            <w:r w:rsidRPr="005A594C">
              <w:rPr>
                <w:i/>
                <w:iCs/>
                <w:color w:val="747474" w:themeColor="background2" w:themeShade="80"/>
              </w:rPr>
              <w:t>En décembre 2018, quatre ONG (Notre Affaire à Tous, Greenpeace France, Oxfam France, Fondation Nicolas Hulot) lancent une action en justice contre l’État français pour “inaction climatique”. Le contexte est celui d’une urgence écologique mondiale (COP21 encore récente, alertes du GIEC), et d’une crise sociale avec le mouvement des Gilets jaunes. Ce climat traduit une tension entre justice sociale et justice climatique.</w:t>
            </w:r>
          </w:p>
          <w:p w14:paraId="31BCF179" w14:textId="4858B963" w:rsidR="00B8567F" w:rsidRDefault="00B8567F"/>
        </w:tc>
      </w:tr>
      <w:tr w:rsidR="00D24FDB" w14:paraId="116329A2" w14:textId="77777777" w:rsidTr="00D24FDB">
        <w:trPr>
          <w:trHeight w:val="837"/>
        </w:trPr>
        <w:tc>
          <w:tcPr>
            <w:tcW w:w="4531" w:type="dxa"/>
          </w:tcPr>
          <w:p w14:paraId="69F4A045" w14:textId="4D63EB7D" w:rsidR="00D24FDB" w:rsidRDefault="00D24FDB">
            <w:r>
              <w:t xml:space="preserve">Quelle </w:t>
            </w:r>
            <w:r w:rsidR="00B8567F">
              <w:t xml:space="preserve">en </w:t>
            </w:r>
            <w:r>
              <w:t xml:space="preserve">est la conclusion ? </w:t>
            </w:r>
          </w:p>
        </w:tc>
        <w:tc>
          <w:tcPr>
            <w:tcW w:w="4531" w:type="dxa"/>
          </w:tcPr>
          <w:p w14:paraId="43B9BC8A" w14:textId="77777777" w:rsidR="00B8567F" w:rsidRPr="005A594C" w:rsidRDefault="00B8567F">
            <w:pPr>
              <w:rPr>
                <w:i/>
                <w:iCs/>
                <w:color w:val="747474" w:themeColor="background2" w:themeShade="80"/>
              </w:rPr>
            </w:pPr>
            <w:r w:rsidRPr="005A594C">
              <w:rPr>
                <w:i/>
                <w:iCs/>
                <w:color w:val="747474" w:themeColor="background2" w:themeShade="80"/>
              </w:rPr>
              <w:t xml:space="preserve">En février 2021, le Tribunal administratif de Paris reconnaît la “carence fautive” de l’État. C’est une victoire symbolique importante, car elle établit la responsabilité juridique de l’État face au climat. </w:t>
            </w:r>
          </w:p>
          <w:p w14:paraId="50CE5C32" w14:textId="77777777" w:rsidR="00D24FDB" w:rsidRPr="005A594C" w:rsidRDefault="00B8567F">
            <w:pPr>
              <w:rPr>
                <w:i/>
                <w:iCs/>
                <w:color w:val="747474" w:themeColor="background2" w:themeShade="80"/>
              </w:rPr>
            </w:pPr>
            <w:r w:rsidRPr="005A594C">
              <w:rPr>
                <w:i/>
                <w:iCs/>
                <w:color w:val="747474" w:themeColor="background2" w:themeShade="80"/>
              </w:rPr>
              <w:t>Mais l’affaire reste ouverte : la transformation réelle des politiques publiques demeure incomplète.</w:t>
            </w:r>
          </w:p>
          <w:p w14:paraId="68B56150" w14:textId="7C898B81" w:rsidR="00B8567F" w:rsidRPr="005A594C" w:rsidRDefault="00B8567F">
            <w:pPr>
              <w:rPr>
                <w:i/>
                <w:iCs/>
                <w:color w:val="747474" w:themeColor="background2" w:themeShade="80"/>
              </w:rPr>
            </w:pPr>
          </w:p>
        </w:tc>
      </w:tr>
      <w:tr w:rsidR="00D24FDB" w14:paraId="0C80F1EB" w14:textId="77777777" w:rsidTr="00D24FDB">
        <w:trPr>
          <w:trHeight w:val="977"/>
        </w:trPr>
        <w:tc>
          <w:tcPr>
            <w:tcW w:w="4531" w:type="dxa"/>
          </w:tcPr>
          <w:p w14:paraId="2440F116" w14:textId="7CFDD1AB" w:rsidR="00D24FDB" w:rsidRDefault="00B8567F">
            <w:r>
              <w:t xml:space="preserve">A quelles échelles de temps agit cette affaire ? </w:t>
            </w:r>
          </w:p>
        </w:tc>
        <w:tc>
          <w:tcPr>
            <w:tcW w:w="4531" w:type="dxa"/>
          </w:tcPr>
          <w:p w14:paraId="7FE30264" w14:textId="77777777" w:rsidR="00D24FDB" w:rsidRPr="005A594C" w:rsidRDefault="00B8567F">
            <w:pPr>
              <w:rPr>
                <w:i/>
                <w:iCs/>
                <w:color w:val="747474" w:themeColor="background2" w:themeShade="80"/>
              </w:rPr>
            </w:pPr>
            <w:r w:rsidRPr="005A594C">
              <w:rPr>
                <w:i/>
                <w:iCs/>
                <w:color w:val="747474" w:themeColor="background2" w:themeShade="80"/>
              </w:rPr>
              <w:t>Court terme : mobilisation citoyenne massive (2,3 millions de signataires).</w:t>
            </w:r>
            <w:r w:rsidRPr="005A594C">
              <w:rPr>
                <w:i/>
                <w:iCs/>
                <w:color w:val="747474" w:themeColor="background2" w:themeShade="80"/>
              </w:rPr>
              <w:br/>
              <w:t>Moyen terme : action juridique et médiatique.</w:t>
            </w:r>
            <w:r w:rsidRPr="005A594C">
              <w:rPr>
                <w:i/>
                <w:iCs/>
                <w:color w:val="747474" w:themeColor="background2" w:themeShade="80"/>
              </w:rPr>
              <w:br/>
              <w:t>Long terme : influence culturelle sur la perception du climat comme bien commun.</w:t>
            </w:r>
          </w:p>
          <w:p w14:paraId="1811B7B2" w14:textId="77777777" w:rsidR="00B8567F" w:rsidRPr="005A594C" w:rsidRDefault="00B8567F">
            <w:pPr>
              <w:rPr>
                <w:i/>
                <w:iCs/>
                <w:color w:val="747474" w:themeColor="background2" w:themeShade="80"/>
              </w:rPr>
            </w:pPr>
          </w:p>
          <w:p w14:paraId="6A6DAC89" w14:textId="799DFD56" w:rsidR="00B8567F" w:rsidRPr="005A594C" w:rsidRDefault="00B8567F">
            <w:pPr>
              <w:rPr>
                <w:i/>
                <w:iCs/>
                <w:color w:val="747474" w:themeColor="background2" w:themeShade="80"/>
              </w:rPr>
            </w:pPr>
            <w:r w:rsidRPr="005A594C">
              <w:rPr>
                <w:i/>
                <w:iCs/>
                <w:color w:val="747474" w:themeColor="background2" w:themeShade="80"/>
              </w:rPr>
              <w:t xml:space="preserve">Cf. </w:t>
            </w:r>
            <w:hyperlink r:id="rId8" w:history="1">
              <w:r w:rsidRPr="005A594C">
                <w:rPr>
                  <w:i/>
                  <w:iCs/>
                  <w:color w:val="747474" w:themeColor="background2" w:themeShade="80"/>
                </w:rPr>
                <w:t>Les modes d'action en anthropocène : la prise en compte des différentes échelles de temps</w:t>
              </w:r>
            </w:hyperlink>
          </w:p>
        </w:tc>
      </w:tr>
      <w:tr w:rsidR="00B8567F" w14:paraId="35D669A3" w14:textId="77777777" w:rsidTr="00D24FDB">
        <w:trPr>
          <w:trHeight w:val="977"/>
        </w:trPr>
        <w:tc>
          <w:tcPr>
            <w:tcW w:w="4531" w:type="dxa"/>
          </w:tcPr>
          <w:p w14:paraId="7BECCD39" w14:textId="3FD5C660" w:rsidR="00B8567F" w:rsidRDefault="00B8567F">
            <w:r>
              <w:t xml:space="preserve">Peut-on identifier « un point de bascule » ? </w:t>
            </w:r>
          </w:p>
        </w:tc>
        <w:tc>
          <w:tcPr>
            <w:tcW w:w="4531" w:type="dxa"/>
          </w:tcPr>
          <w:p w14:paraId="4001640D" w14:textId="77777777" w:rsidR="00B8567F" w:rsidRPr="005A594C" w:rsidRDefault="00B8567F">
            <w:pPr>
              <w:rPr>
                <w:i/>
                <w:iCs/>
                <w:color w:val="747474" w:themeColor="background2" w:themeShade="80"/>
              </w:rPr>
            </w:pPr>
            <w:r w:rsidRPr="005A594C">
              <w:rPr>
                <w:i/>
                <w:iCs/>
                <w:color w:val="747474" w:themeColor="background2" w:themeShade="80"/>
              </w:rPr>
              <w:t xml:space="preserve">Oui : lorsque la question climatique devient affaire de justice. Ce moment transforme un problème scientifique en </w:t>
            </w:r>
            <w:r w:rsidRPr="005A594C">
              <w:rPr>
                <w:i/>
                <w:iCs/>
                <w:color w:val="747474" w:themeColor="background2" w:themeShade="80"/>
              </w:rPr>
              <w:lastRenderedPageBreak/>
              <w:t>enjeu moral et politique. La reconnaissance juridique du préjudice écologique agit comme un déclencheur symbolique.</w:t>
            </w:r>
          </w:p>
          <w:p w14:paraId="03ADBD65" w14:textId="77777777" w:rsidR="00B8567F" w:rsidRPr="005A594C" w:rsidRDefault="00B8567F">
            <w:pPr>
              <w:rPr>
                <w:i/>
                <w:iCs/>
                <w:color w:val="747474" w:themeColor="background2" w:themeShade="80"/>
              </w:rPr>
            </w:pPr>
          </w:p>
          <w:p w14:paraId="4689F706" w14:textId="4878C72E" w:rsidR="00B8567F" w:rsidRPr="005A594C" w:rsidRDefault="00B8567F">
            <w:pPr>
              <w:rPr>
                <w:i/>
                <w:iCs/>
                <w:color w:val="747474" w:themeColor="background2" w:themeShade="80"/>
              </w:rPr>
            </w:pPr>
            <w:r w:rsidRPr="005A594C">
              <w:rPr>
                <w:i/>
                <w:iCs/>
                <w:color w:val="747474" w:themeColor="background2" w:themeShade="80"/>
              </w:rPr>
              <w:t>Cf. vidéo « Point de bascule » : prise de conscience collective</w:t>
            </w:r>
          </w:p>
        </w:tc>
      </w:tr>
      <w:tr w:rsidR="000D18CF" w14:paraId="5A5540F1" w14:textId="77777777" w:rsidTr="00D24FDB">
        <w:trPr>
          <w:trHeight w:val="977"/>
        </w:trPr>
        <w:tc>
          <w:tcPr>
            <w:tcW w:w="4531" w:type="dxa"/>
          </w:tcPr>
          <w:p w14:paraId="2D46195C" w14:textId="30ED9CD8" w:rsidR="000D18CF" w:rsidRDefault="000D18CF">
            <w:r>
              <w:lastRenderedPageBreak/>
              <w:t xml:space="preserve">Que nous dit cette temporalité sur la difficulté de transformer les systèmes ? </w:t>
            </w:r>
          </w:p>
        </w:tc>
        <w:tc>
          <w:tcPr>
            <w:tcW w:w="4531" w:type="dxa"/>
          </w:tcPr>
          <w:p w14:paraId="466DD8D0" w14:textId="77777777" w:rsidR="000D18CF" w:rsidRPr="005A594C" w:rsidRDefault="000D18CF">
            <w:pPr>
              <w:rPr>
                <w:i/>
                <w:iCs/>
                <w:color w:val="747474" w:themeColor="background2" w:themeShade="80"/>
              </w:rPr>
            </w:pPr>
            <w:r w:rsidRPr="005A594C">
              <w:rPr>
                <w:i/>
                <w:iCs/>
                <w:color w:val="747474" w:themeColor="background2" w:themeShade="80"/>
              </w:rPr>
              <w:t>Elle montre que le changement écologique s’inscrit dans une temporalité complexe : la reconnaissance du problème précède souvent l’action. Les institutions évoluent lentement, tandis que la société civile agit plus vite. La transformation systémique demande patience, persévérance et cohérence dans le temps.</w:t>
            </w:r>
          </w:p>
          <w:p w14:paraId="7547B0C4" w14:textId="2A1FDFE7" w:rsidR="000D18CF" w:rsidRPr="005A594C" w:rsidRDefault="000D18CF">
            <w:pPr>
              <w:rPr>
                <w:i/>
                <w:iCs/>
                <w:color w:val="747474" w:themeColor="background2" w:themeShade="80"/>
              </w:rPr>
            </w:pPr>
          </w:p>
        </w:tc>
      </w:tr>
    </w:tbl>
    <w:p w14:paraId="0BA96D54" w14:textId="77777777" w:rsidR="00D24FDB" w:rsidRDefault="00D24FDB"/>
    <w:p w14:paraId="2CD81804" w14:textId="01E8EC13" w:rsidR="00D24FDB" w:rsidRPr="00D62572" w:rsidRDefault="00D24FDB" w:rsidP="00D24FDB">
      <w:pPr>
        <w:pStyle w:val="Paragraphedeliste"/>
        <w:numPr>
          <w:ilvl w:val="0"/>
          <w:numId w:val="2"/>
        </w:numPr>
        <w:rPr>
          <w:b/>
          <w:bCs/>
        </w:rPr>
      </w:pPr>
      <w:r w:rsidRPr="00D62572">
        <w:rPr>
          <w:b/>
          <w:bCs/>
        </w:rPr>
        <w:t xml:space="preserve">Acteurs et dynamiques </w:t>
      </w:r>
    </w:p>
    <w:tbl>
      <w:tblPr>
        <w:tblStyle w:val="Grilledutableau"/>
        <w:tblW w:w="0" w:type="auto"/>
        <w:tblLook w:val="04A0" w:firstRow="1" w:lastRow="0" w:firstColumn="1" w:lastColumn="0" w:noHBand="0" w:noVBand="1"/>
      </w:tblPr>
      <w:tblGrid>
        <w:gridCol w:w="4531"/>
        <w:gridCol w:w="4531"/>
      </w:tblGrid>
      <w:tr w:rsidR="00D24FDB" w14:paraId="4724F500" w14:textId="77777777" w:rsidTr="00F249C0">
        <w:tc>
          <w:tcPr>
            <w:tcW w:w="4531" w:type="dxa"/>
            <w:shd w:val="clear" w:color="auto" w:fill="45B0E1" w:themeFill="accent1" w:themeFillTint="99"/>
          </w:tcPr>
          <w:p w14:paraId="4384C729" w14:textId="77777777" w:rsidR="00D24FDB" w:rsidRPr="00D24FDB" w:rsidRDefault="00D24FDB" w:rsidP="00F249C0">
            <w:pPr>
              <w:jc w:val="center"/>
              <w:rPr>
                <w:color w:val="FFFFFF" w:themeColor="background1"/>
              </w:rPr>
            </w:pPr>
            <w:r w:rsidRPr="00D24FDB">
              <w:rPr>
                <w:color w:val="FFFFFF" w:themeColor="background1"/>
              </w:rPr>
              <w:t>Questions d’analyse</w:t>
            </w:r>
          </w:p>
        </w:tc>
        <w:tc>
          <w:tcPr>
            <w:tcW w:w="4531" w:type="dxa"/>
            <w:shd w:val="clear" w:color="auto" w:fill="45B0E1" w:themeFill="accent1" w:themeFillTint="99"/>
          </w:tcPr>
          <w:p w14:paraId="57D951D3" w14:textId="77777777" w:rsidR="00D24FDB" w:rsidRPr="00D24FDB" w:rsidRDefault="00D24FDB" w:rsidP="00F249C0">
            <w:pPr>
              <w:jc w:val="center"/>
              <w:rPr>
                <w:color w:val="FFFFFF" w:themeColor="background1"/>
              </w:rPr>
            </w:pPr>
            <w:r w:rsidRPr="00D24FDB">
              <w:rPr>
                <w:color w:val="FFFFFF" w:themeColor="background1"/>
              </w:rPr>
              <w:t>Réponses</w:t>
            </w:r>
          </w:p>
        </w:tc>
      </w:tr>
      <w:tr w:rsidR="00D24FDB" w14:paraId="5B09899C" w14:textId="77777777" w:rsidTr="00F249C0">
        <w:trPr>
          <w:trHeight w:val="977"/>
        </w:trPr>
        <w:tc>
          <w:tcPr>
            <w:tcW w:w="4531" w:type="dxa"/>
          </w:tcPr>
          <w:p w14:paraId="3175B5D3" w14:textId="069C8BD3" w:rsidR="00D24FDB" w:rsidRDefault="00D24FDB" w:rsidP="00F249C0">
            <w:r>
              <w:t xml:space="preserve">Quels sont les </w:t>
            </w:r>
            <w:r w:rsidR="000D18CF">
              <w:t>acteurs</w:t>
            </w:r>
            <w:r>
              <w:t xml:space="preserve"> principaux ? </w:t>
            </w:r>
          </w:p>
        </w:tc>
        <w:tc>
          <w:tcPr>
            <w:tcW w:w="4531" w:type="dxa"/>
          </w:tcPr>
          <w:p w14:paraId="64ABF09C" w14:textId="77777777" w:rsidR="00D24FDB" w:rsidRPr="005A594C" w:rsidRDefault="000D18CF" w:rsidP="00F249C0">
            <w:pPr>
              <w:rPr>
                <w:i/>
                <w:iCs/>
                <w:color w:val="747474" w:themeColor="background2" w:themeShade="80"/>
              </w:rPr>
            </w:pPr>
            <w:r w:rsidRPr="005A594C">
              <w:rPr>
                <w:i/>
                <w:iCs/>
                <w:color w:val="747474" w:themeColor="background2" w:themeShade="80"/>
              </w:rPr>
              <w:t>Les ONG initiatrices, les citoyens signataires, les juges (garants de la justice), les médias (amplificateurs) et l’État (accusé). Les jeunes générations, souvent symbolisées, incarnent la cause à long terme.</w:t>
            </w:r>
          </w:p>
          <w:p w14:paraId="0BCD38D2" w14:textId="70A7862A" w:rsidR="000D18CF" w:rsidRPr="005A594C" w:rsidRDefault="000D18CF" w:rsidP="00F249C0">
            <w:pPr>
              <w:rPr>
                <w:i/>
                <w:iCs/>
                <w:color w:val="747474" w:themeColor="background2" w:themeShade="80"/>
              </w:rPr>
            </w:pPr>
          </w:p>
        </w:tc>
      </w:tr>
      <w:tr w:rsidR="00D24FDB" w14:paraId="581A5E3E" w14:textId="77777777" w:rsidTr="00D62572">
        <w:trPr>
          <w:trHeight w:val="1061"/>
        </w:trPr>
        <w:tc>
          <w:tcPr>
            <w:tcW w:w="4531" w:type="dxa"/>
          </w:tcPr>
          <w:p w14:paraId="17F0FDCA" w14:textId="57CD0E25" w:rsidR="00D24FDB" w:rsidRDefault="000D18CF" w:rsidP="00F249C0">
            <w:r>
              <w:t xml:space="preserve">Comment la société civile s’organise-t-elle ? </w:t>
            </w:r>
          </w:p>
        </w:tc>
        <w:tc>
          <w:tcPr>
            <w:tcW w:w="4531" w:type="dxa"/>
          </w:tcPr>
          <w:p w14:paraId="7DDE2078" w14:textId="77777777" w:rsidR="00D24FDB" w:rsidRPr="005A594C" w:rsidRDefault="000D18CF" w:rsidP="00F249C0">
            <w:pPr>
              <w:rPr>
                <w:i/>
                <w:iCs/>
                <w:color w:val="747474" w:themeColor="background2" w:themeShade="80"/>
              </w:rPr>
            </w:pPr>
            <w:r w:rsidRPr="005A594C">
              <w:rPr>
                <w:i/>
                <w:iCs/>
                <w:color w:val="747474" w:themeColor="background2" w:themeShade="80"/>
              </w:rPr>
              <w:t>Par des stratégies de coalition, d’alliance entre ONG, scientifiques et citoyens. L’usage des réseaux sociaux et du droit traduit une nouvelle forme de militantisme non violent, participatif et institutionnel.</w:t>
            </w:r>
          </w:p>
          <w:p w14:paraId="410043E9" w14:textId="77777777" w:rsidR="000D18CF" w:rsidRPr="005A594C" w:rsidRDefault="000D18CF" w:rsidP="00F249C0">
            <w:pPr>
              <w:rPr>
                <w:i/>
                <w:iCs/>
                <w:color w:val="747474" w:themeColor="background2" w:themeShade="80"/>
              </w:rPr>
            </w:pPr>
          </w:p>
          <w:p w14:paraId="1344F93D" w14:textId="17B2E710" w:rsidR="000D18CF" w:rsidRPr="005A594C" w:rsidRDefault="000D18CF" w:rsidP="00F249C0">
            <w:pPr>
              <w:rPr>
                <w:i/>
                <w:iCs/>
                <w:color w:val="747474" w:themeColor="background2" w:themeShade="80"/>
              </w:rPr>
            </w:pPr>
            <w:r w:rsidRPr="005A594C">
              <w:rPr>
                <w:i/>
                <w:iCs/>
                <w:color w:val="747474" w:themeColor="background2" w:themeShade="80"/>
              </w:rPr>
              <w:t>Cf. « Quelles initiatives de la société civile ? »</w:t>
            </w:r>
          </w:p>
        </w:tc>
      </w:tr>
      <w:tr w:rsidR="00D24FDB" w14:paraId="3B75A874" w14:textId="77777777" w:rsidTr="00D62572">
        <w:trPr>
          <w:trHeight w:val="899"/>
        </w:trPr>
        <w:tc>
          <w:tcPr>
            <w:tcW w:w="4531" w:type="dxa"/>
          </w:tcPr>
          <w:p w14:paraId="078BB366" w14:textId="7FD8D8F3" w:rsidR="00D24FDB" w:rsidRDefault="000D18CF" w:rsidP="00F249C0">
            <w:r>
              <w:t xml:space="preserve">Comment le rapport État-citoyens est-il transformé ? </w:t>
            </w:r>
            <w:r w:rsidR="00D24FDB">
              <w:t xml:space="preserve"> </w:t>
            </w:r>
          </w:p>
        </w:tc>
        <w:tc>
          <w:tcPr>
            <w:tcW w:w="4531" w:type="dxa"/>
          </w:tcPr>
          <w:p w14:paraId="156E1704" w14:textId="5805C652" w:rsidR="00D24FDB" w:rsidRPr="005A594C" w:rsidRDefault="000D18CF" w:rsidP="00F249C0">
            <w:pPr>
              <w:rPr>
                <w:i/>
                <w:iCs/>
                <w:color w:val="747474" w:themeColor="background2" w:themeShade="80"/>
              </w:rPr>
            </w:pPr>
            <w:r w:rsidRPr="005A594C">
              <w:rPr>
                <w:i/>
                <w:iCs/>
                <w:color w:val="747474" w:themeColor="background2" w:themeShade="80"/>
              </w:rPr>
              <w:t>L’affaire inverse les rôles : ce sont les citoyens qui jugent l’État</w:t>
            </w:r>
          </w:p>
        </w:tc>
      </w:tr>
    </w:tbl>
    <w:p w14:paraId="4AA90BC3" w14:textId="5BAC12CF" w:rsidR="00D24FDB" w:rsidRDefault="00D24FDB" w:rsidP="00D24FDB"/>
    <w:p w14:paraId="22434724" w14:textId="77777777" w:rsidR="004B096E" w:rsidRDefault="004B096E" w:rsidP="00D24FDB"/>
    <w:p w14:paraId="1B33B944" w14:textId="77777777" w:rsidR="004B096E" w:rsidRDefault="004B096E" w:rsidP="00D24FDB"/>
    <w:p w14:paraId="6B849ED6" w14:textId="77777777" w:rsidR="004B096E" w:rsidRDefault="004B096E" w:rsidP="00D24FDB"/>
    <w:p w14:paraId="3888E3C8" w14:textId="764D7A88" w:rsidR="00D62572" w:rsidRPr="005A594C" w:rsidRDefault="00476389" w:rsidP="00D62572">
      <w:pPr>
        <w:pStyle w:val="Paragraphedeliste"/>
        <w:numPr>
          <w:ilvl w:val="0"/>
          <w:numId w:val="2"/>
        </w:numPr>
        <w:rPr>
          <w:b/>
          <w:bCs/>
        </w:rPr>
      </w:pPr>
      <w:r w:rsidRPr="005A594C">
        <w:rPr>
          <w:b/>
          <w:bCs/>
        </w:rPr>
        <w:lastRenderedPageBreak/>
        <w:t xml:space="preserve">Dimension éthique et politique </w:t>
      </w:r>
    </w:p>
    <w:tbl>
      <w:tblPr>
        <w:tblStyle w:val="Grilledutableau"/>
        <w:tblW w:w="0" w:type="auto"/>
        <w:tblLook w:val="04A0" w:firstRow="1" w:lastRow="0" w:firstColumn="1" w:lastColumn="0" w:noHBand="0" w:noVBand="1"/>
      </w:tblPr>
      <w:tblGrid>
        <w:gridCol w:w="4531"/>
        <w:gridCol w:w="4531"/>
      </w:tblGrid>
      <w:tr w:rsidR="00476389" w14:paraId="2F9811A3" w14:textId="77777777" w:rsidTr="00F249C0">
        <w:tc>
          <w:tcPr>
            <w:tcW w:w="4531" w:type="dxa"/>
            <w:shd w:val="clear" w:color="auto" w:fill="45B0E1" w:themeFill="accent1" w:themeFillTint="99"/>
          </w:tcPr>
          <w:p w14:paraId="6270609A" w14:textId="77777777" w:rsidR="00476389" w:rsidRPr="00D24FDB" w:rsidRDefault="00476389" w:rsidP="00F249C0">
            <w:pPr>
              <w:jc w:val="center"/>
              <w:rPr>
                <w:color w:val="FFFFFF" w:themeColor="background1"/>
              </w:rPr>
            </w:pPr>
            <w:r w:rsidRPr="00D24FDB">
              <w:rPr>
                <w:color w:val="FFFFFF" w:themeColor="background1"/>
              </w:rPr>
              <w:t>Questions d’analyse</w:t>
            </w:r>
          </w:p>
        </w:tc>
        <w:tc>
          <w:tcPr>
            <w:tcW w:w="4531" w:type="dxa"/>
            <w:shd w:val="clear" w:color="auto" w:fill="45B0E1" w:themeFill="accent1" w:themeFillTint="99"/>
          </w:tcPr>
          <w:p w14:paraId="0C36DBB9" w14:textId="77777777" w:rsidR="00476389" w:rsidRPr="00D24FDB" w:rsidRDefault="00476389" w:rsidP="00F249C0">
            <w:pPr>
              <w:jc w:val="center"/>
              <w:rPr>
                <w:color w:val="FFFFFF" w:themeColor="background1"/>
              </w:rPr>
            </w:pPr>
            <w:r w:rsidRPr="00D24FDB">
              <w:rPr>
                <w:color w:val="FFFFFF" w:themeColor="background1"/>
              </w:rPr>
              <w:t>Réponses</w:t>
            </w:r>
          </w:p>
        </w:tc>
      </w:tr>
      <w:tr w:rsidR="00476389" w14:paraId="6C5AA96D" w14:textId="77777777" w:rsidTr="00F249C0">
        <w:trPr>
          <w:trHeight w:val="977"/>
        </w:trPr>
        <w:tc>
          <w:tcPr>
            <w:tcW w:w="4531" w:type="dxa"/>
          </w:tcPr>
          <w:p w14:paraId="77E9745A" w14:textId="2FA96030" w:rsidR="00476389" w:rsidRDefault="00476389" w:rsidP="00F249C0">
            <w:r>
              <w:t xml:space="preserve">Quelles formes de </w:t>
            </w:r>
            <w:r w:rsidR="000D18CF">
              <w:t xml:space="preserve">justice sont en jeu ? </w:t>
            </w:r>
            <w:r>
              <w:t xml:space="preserve">  </w:t>
            </w:r>
          </w:p>
        </w:tc>
        <w:tc>
          <w:tcPr>
            <w:tcW w:w="4531" w:type="dxa"/>
          </w:tcPr>
          <w:p w14:paraId="2F6B08CE" w14:textId="77777777" w:rsidR="00476389" w:rsidRPr="005A594C" w:rsidRDefault="000D18CF" w:rsidP="00F249C0">
            <w:pPr>
              <w:rPr>
                <w:i/>
                <w:iCs/>
                <w:color w:val="747474" w:themeColor="background2" w:themeShade="80"/>
              </w:rPr>
            </w:pPr>
            <w:r w:rsidRPr="005A594C">
              <w:rPr>
                <w:i/>
                <w:iCs/>
                <w:color w:val="747474" w:themeColor="background2" w:themeShade="80"/>
              </w:rPr>
              <w:t>Justice climatique (réparation des dommages écologiques), justice intergénérationnelle (devoir envers les générations futures), et justice sociale (protection des plus vulnérables face aux effets du climat).</w:t>
            </w:r>
          </w:p>
          <w:p w14:paraId="52218E3D" w14:textId="40DED701" w:rsidR="000D18CF" w:rsidRPr="005A594C" w:rsidRDefault="000D18CF" w:rsidP="00F249C0">
            <w:pPr>
              <w:rPr>
                <w:i/>
                <w:iCs/>
                <w:color w:val="747474" w:themeColor="background2" w:themeShade="80"/>
              </w:rPr>
            </w:pPr>
          </w:p>
        </w:tc>
      </w:tr>
      <w:tr w:rsidR="00476389" w14:paraId="62D3B9AA" w14:textId="77777777" w:rsidTr="00F249C0">
        <w:trPr>
          <w:trHeight w:val="1061"/>
        </w:trPr>
        <w:tc>
          <w:tcPr>
            <w:tcW w:w="4531" w:type="dxa"/>
          </w:tcPr>
          <w:p w14:paraId="6D22B0AF" w14:textId="45E7162E" w:rsidR="00476389" w:rsidRDefault="000D18CF" w:rsidP="00F249C0">
            <w:r>
              <w:t xml:space="preserve">L’affaire illustre-t-elle une forme de renoncement ? </w:t>
            </w:r>
            <w:r w:rsidR="00476389">
              <w:t xml:space="preserve"> </w:t>
            </w:r>
          </w:p>
        </w:tc>
        <w:tc>
          <w:tcPr>
            <w:tcW w:w="4531" w:type="dxa"/>
          </w:tcPr>
          <w:p w14:paraId="26B9302E" w14:textId="77777777" w:rsidR="00476389" w:rsidRPr="005A594C" w:rsidRDefault="000D18CF" w:rsidP="00F249C0">
            <w:pPr>
              <w:rPr>
                <w:i/>
                <w:iCs/>
                <w:color w:val="747474" w:themeColor="background2" w:themeShade="80"/>
              </w:rPr>
            </w:pPr>
            <w:r w:rsidRPr="005A594C">
              <w:rPr>
                <w:i/>
                <w:iCs/>
                <w:color w:val="747474" w:themeColor="background2" w:themeShade="80"/>
              </w:rPr>
              <w:t>Oui : renoncer à l’idée que le changement viendra uniquement des institutions ; accepter une forme de désobéissance civique et juridique constructive.</w:t>
            </w:r>
          </w:p>
          <w:p w14:paraId="4B61F68C" w14:textId="77777777" w:rsidR="000D18CF" w:rsidRPr="005A594C" w:rsidRDefault="000D18CF" w:rsidP="00F249C0">
            <w:pPr>
              <w:rPr>
                <w:i/>
                <w:iCs/>
                <w:color w:val="747474" w:themeColor="background2" w:themeShade="80"/>
              </w:rPr>
            </w:pPr>
          </w:p>
          <w:p w14:paraId="66E10D9A" w14:textId="521446F4" w:rsidR="000D18CF" w:rsidRPr="005A594C" w:rsidRDefault="000D18CF" w:rsidP="00F249C0">
            <w:pPr>
              <w:rPr>
                <w:i/>
                <w:iCs/>
                <w:color w:val="747474" w:themeColor="background2" w:themeShade="80"/>
              </w:rPr>
            </w:pPr>
            <w:r w:rsidRPr="005A594C">
              <w:rPr>
                <w:i/>
                <w:iCs/>
                <w:color w:val="747474" w:themeColor="background2" w:themeShade="80"/>
              </w:rPr>
              <w:t xml:space="preserve">Cf. « La pédagogie du renoncement » </w:t>
            </w:r>
          </w:p>
        </w:tc>
      </w:tr>
    </w:tbl>
    <w:p w14:paraId="02DCA41A" w14:textId="77777777" w:rsidR="00476389" w:rsidRDefault="00476389" w:rsidP="00476389"/>
    <w:p w14:paraId="631AAF0B" w14:textId="77777777" w:rsidR="00476389" w:rsidRDefault="00476389" w:rsidP="00476389"/>
    <w:p w14:paraId="31BD0EEA" w14:textId="77777777" w:rsidR="00476389" w:rsidRDefault="00476389" w:rsidP="00476389"/>
    <w:sectPr w:rsidR="00476389" w:rsidSect="004B096E">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9FDA" w14:textId="77777777" w:rsidR="002A551D" w:rsidRDefault="002A551D" w:rsidP="0087037A">
      <w:pPr>
        <w:spacing w:after="0" w:line="240" w:lineRule="auto"/>
      </w:pPr>
      <w:r>
        <w:separator/>
      </w:r>
    </w:p>
  </w:endnote>
  <w:endnote w:type="continuationSeparator" w:id="0">
    <w:p w14:paraId="57144169" w14:textId="77777777" w:rsidR="002A551D" w:rsidRDefault="002A551D" w:rsidP="0087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8D88" w14:textId="77777777" w:rsidR="002A551D" w:rsidRDefault="002A551D" w:rsidP="0087037A">
      <w:pPr>
        <w:spacing w:after="0" w:line="240" w:lineRule="auto"/>
      </w:pPr>
      <w:r>
        <w:separator/>
      </w:r>
    </w:p>
  </w:footnote>
  <w:footnote w:type="continuationSeparator" w:id="0">
    <w:p w14:paraId="31E0BAA5" w14:textId="77777777" w:rsidR="002A551D" w:rsidRDefault="002A551D" w:rsidP="0087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CC77" w14:textId="7DF4F5D1" w:rsidR="004B096E" w:rsidRDefault="004B096E">
    <w:pPr>
      <w:pStyle w:val="En-tte"/>
    </w:pPr>
    <w:r>
      <w:rPr>
        <w:noProof/>
      </w:rPr>
      <w:drawing>
        <wp:anchor distT="0" distB="0" distL="114300" distR="114300" simplePos="0" relativeHeight="251659264" behindDoc="0" locked="0" layoutInCell="1" allowOverlap="1" wp14:anchorId="39875261" wp14:editId="449F329F">
          <wp:simplePos x="0" y="0"/>
          <wp:positionH relativeFrom="column">
            <wp:posOffset>-904125</wp:posOffset>
          </wp:positionH>
          <wp:positionV relativeFrom="paragraph">
            <wp:posOffset>-473396</wp:posOffset>
          </wp:positionV>
          <wp:extent cx="7586345" cy="1487805"/>
          <wp:effectExtent l="0" t="0" r="0" b="0"/>
          <wp:wrapThrough wrapText="bothSides">
            <wp:wrapPolygon edited="0">
              <wp:start x="0" y="0"/>
              <wp:lineTo x="0" y="21388"/>
              <wp:lineTo x="21551" y="21388"/>
              <wp:lineTo x="21551" y="0"/>
              <wp:lineTo x="0" y="0"/>
            </wp:wrapPolygon>
          </wp:wrapThrough>
          <wp:docPr id="1481292276"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92276"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6345" cy="1487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747"/>
    <w:multiLevelType w:val="hybridMultilevel"/>
    <w:tmpl w:val="72523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C161B"/>
    <w:multiLevelType w:val="hybridMultilevel"/>
    <w:tmpl w:val="BA2CE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521711">
    <w:abstractNumId w:val="1"/>
  </w:num>
  <w:num w:numId="2" w16cid:durableId="202632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7A"/>
    <w:rsid w:val="00046A7F"/>
    <w:rsid w:val="000D18CF"/>
    <w:rsid w:val="001315D6"/>
    <w:rsid w:val="002A551D"/>
    <w:rsid w:val="002F3BB5"/>
    <w:rsid w:val="003A62D2"/>
    <w:rsid w:val="00476389"/>
    <w:rsid w:val="00480E56"/>
    <w:rsid w:val="004B096E"/>
    <w:rsid w:val="005A594C"/>
    <w:rsid w:val="005C0700"/>
    <w:rsid w:val="00744AFF"/>
    <w:rsid w:val="0087037A"/>
    <w:rsid w:val="00A249D3"/>
    <w:rsid w:val="00A82744"/>
    <w:rsid w:val="00AA7E69"/>
    <w:rsid w:val="00B8567F"/>
    <w:rsid w:val="00D24FDB"/>
    <w:rsid w:val="00D62572"/>
    <w:rsid w:val="00EC0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24D2"/>
  <w15:chartTrackingRefBased/>
  <w15:docId w15:val="{C3E69281-D107-6F4C-815D-5E33551D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89"/>
  </w:style>
  <w:style w:type="paragraph" w:styleId="Titre1">
    <w:name w:val="heading 1"/>
    <w:basedOn w:val="Normal"/>
    <w:next w:val="Normal"/>
    <w:link w:val="Titre1Car"/>
    <w:uiPriority w:val="9"/>
    <w:qFormat/>
    <w:rsid w:val="00870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0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03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03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03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03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03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03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03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03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03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03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03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03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03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03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03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037A"/>
    <w:rPr>
      <w:rFonts w:eastAsiaTheme="majorEastAsia" w:cstheme="majorBidi"/>
      <w:color w:val="272727" w:themeColor="text1" w:themeTint="D8"/>
    </w:rPr>
  </w:style>
  <w:style w:type="paragraph" w:styleId="Titre">
    <w:name w:val="Title"/>
    <w:basedOn w:val="Normal"/>
    <w:next w:val="Normal"/>
    <w:link w:val="TitreCar"/>
    <w:uiPriority w:val="10"/>
    <w:qFormat/>
    <w:rsid w:val="00870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03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03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03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037A"/>
    <w:pPr>
      <w:spacing w:before="160"/>
      <w:jc w:val="center"/>
    </w:pPr>
    <w:rPr>
      <w:i/>
      <w:iCs/>
      <w:color w:val="404040" w:themeColor="text1" w:themeTint="BF"/>
    </w:rPr>
  </w:style>
  <w:style w:type="character" w:customStyle="1" w:styleId="CitationCar">
    <w:name w:val="Citation Car"/>
    <w:basedOn w:val="Policepardfaut"/>
    <w:link w:val="Citation"/>
    <w:uiPriority w:val="29"/>
    <w:rsid w:val="0087037A"/>
    <w:rPr>
      <w:i/>
      <w:iCs/>
      <w:color w:val="404040" w:themeColor="text1" w:themeTint="BF"/>
    </w:rPr>
  </w:style>
  <w:style w:type="paragraph" w:styleId="Paragraphedeliste">
    <w:name w:val="List Paragraph"/>
    <w:basedOn w:val="Normal"/>
    <w:uiPriority w:val="34"/>
    <w:qFormat/>
    <w:rsid w:val="0087037A"/>
    <w:pPr>
      <w:ind w:left="720"/>
      <w:contextualSpacing/>
    </w:pPr>
  </w:style>
  <w:style w:type="character" w:styleId="Accentuationintense">
    <w:name w:val="Intense Emphasis"/>
    <w:basedOn w:val="Policepardfaut"/>
    <w:uiPriority w:val="21"/>
    <w:qFormat/>
    <w:rsid w:val="0087037A"/>
    <w:rPr>
      <w:i/>
      <w:iCs/>
      <w:color w:val="0F4761" w:themeColor="accent1" w:themeShade="BF"/>
    </w:rPr>
  </w:style>
  <w:style w:type="paragraph" w:styleId="Citationintense">
    <w:name w:val="Intense Quote"/>
    <w:basedOn w:val="Normal"/>
    <w:next w:val="Normal"/>
    <w:link w:val="CitationintenseCar"/>
    <w:uiPriority w:val="30"/>
    <w:qFormat/>
    <w:rsid w:val="00870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037A"/>
    <w:rPr>
      <w:i/>
      <w:iCs/>
      <w:color w:val="0F4761" w:themeColor="accent1" w:themeShade="BF"/>
    </w:rPr>
  </w:style>
  <w:style w:type="character" w:styleId="Rfrenceintense">
    <w:name w:val="Intense Reference"/>
    <w:basedOn w:val="Policepardfaut"/>
    <w:uiPriority w:val="32"/>
    <w:qFormat/>
    <w:rsid w:val="0087037A"/>
    <w:rPr>
      <w:b/>
      <w:bCs/>
      <w:smallCaps/>
      <w:color w:val="0F4761" w:themeColor="accent1" w:themeShade="BF"/>
      <w:spacing w:val="5"/>
    </w:rPr>
  </w:style>
  <w:style w:type="paragraph" w:styleId="En-tte">
    <w:name w:val="header"/>
    <w:basedOn w:val="Normal"/>
    <w:link w:val="En-tteCar"/>
    <w:uiPriority w:val="99"/>
    <w:unhideWhenUsed/>
    <w:rsid w:val="0087037A"/>
    <w:pPr>
      <w:tabs>
        <w:tab w:val="center" w:pos="4536"/>
        <w:tab w:val="right" w:pos="9072"/>
      </w:tabs>
      <w:spacing w:after="0" w:line="240" w:lineRule="auto"/>
    </w:pPr>
  </w:style>
  <w:style w:type="character" w:customStyle="1" w:styleId="En-tteCar">
    <w:name w:val="En-tête Car"/>
    <w:basedOn w:val="Policepardfaut"/>
    <w:link w:val="En-tte"/>
    <w:uiPriority w:val="99"/>
    <w:rsid w:val="0087037A"/>
  </w:style>
  <w:style w:type="paragraph" w:styleId="Pieddepage">
    <w:name w:val="footer"/>
    <w:basedOn w:val="Normal"/>
    <w:link w:val="PieddepageCar"/>
    <w:uiPriority w:val="99"/>
    <w:unhideWhenUsed/>
    <w:rsid w:val="008703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37A"/>
  </w:style>
  <w:style w:type="table" w:styleId="Grilledutableau">
    <w:name w:val="Table Grid"/>
    <w:basedOn w:val="TableauNormal"/>
    <w:uiPriority w:val="39"/>
    <w:rsid w:val="00D2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4FDB"/>
    <w:rPr>
      <w:color w:val="467886" w:themeColor="hyperlink"/>
      <w:u w:val="single"/>
    </w:rPr>
  </w:style>
  <w:style w:type="character" w:styleId="Mentionnonrsolue">
    <w:name w:val="Unresolved Mention"/>
    <w:basedOn w:val="Policepardfaut"/>
    <w:uiPriority w:val="99"/>
    <w:semiHidden/>
    <w:unhideWhenUsed/>
    <w:rsid w:val="00D24FDB"/>
    <w:rPr>
      <w:color w:val="605E5C"/>
      <w:shd w:val="clear" w:color="auto" w:fill="E1DFDD"/>
    </w:rPr>
  </w:style>
  <w:style w:type="character" w:customStyle="1" w:styleId="apple-converted-space">
    <w:name w:val="apple-converted-space"/>
    <w:basedOn w:val="Policepardfaut"/>
    <w:rsid w:val="00B8567F"/>
  </w:style>
  <w:style w:type="character" w:styleId="lev">
    <w:name w:val="Strong"/>
    <w:basedOn w:val="Policepardfaut"/>
    <w:uiPriority w:val="22"/>
    <w:qFormat/>
    <w:rsid w:val="00B8567F"/>
    <w:rPr>
      <w:b/>
      <w:bCs/>
    </w:rPr>
  </w:style>
  <w:style w:type="character" w:styleId="Lienhypertextesuivivisit">
    <w:name w:val="FollowedHyperlink"/>
    <w:basedOn w:val="Policepardfaut"/>
    <w:uiPriority w:val="99"/>
    <w:semiHidden/>
    <w:unhideWhenUsed/>
    <w:rsid w:val="00B856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ved.fr/mod/book/view.php?id=5098&amp;chapterid=2615" TargetMode="External"/><Relationship Id="rId3" Type="http://schemas.openxmlformats.org/officeDocument/2006/relationships/settings" Target="settings.xml"/><Relationship Id="rId7" Type="http://schemas.openxmlformats.org/officeDocument/2006/relationships/hyperlink" Target="https://laffairedusiecle.net/laff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540</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gresset</dc:creator>
  <cp:keywords/>
  <dc:description/>
  <cp:lastModifiedBy>Emma gresset</cp:lastModifiedBy>
  <cp:revision>3</cp:revision>
  <dcterms:created xsi:type="dcterms:W3CDTF">2025-10-17T12:19:00Z</dcterms:created>
  <dcterms:modified xsi:type="dcterms:W3CDTF">2025-10-23T08:06:00Z</dcterms:modified>
</cp:coreProperties>
</file>