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BEED" w14:textId="119F5823" w:rsidR="001315D6" w:rsidRPr="0075757D" w:rsidRDefault="0075757D" w:rsidP="0075757D">
      <w:pPr>
        <w:jc w:val="center"/>
        <w:rPr>
          <w:rFonts w:ascii="Calibri" w:hAnsi="Calibri" w:cs="Calibri"/>
          <w:b/>
          <w:bCs/>
          <w:color w:val="77206D" w:themeColor="accent5" w:themeShade="BF"/>
          <w:sz w:val="28"/>
          <w:szCs w:val="28"/>
        </w:rPr>
      </w:pPr>
      <w:r w:rsidRPr="0075757D">
        <w:rPr>
          <w:rFonts w:ascii="Calibri" w:hAnsi="Calibri" w:cs="Calibri"/>
          <w:b/>
          <w:bCs/>
          <w:color w:val="77206D" w:themeColor="accent5" w:themeShade="BF"/>
          <w:sz w:val="28"/>
          <w:szCs w:val="28"/>
        </w:rPr>
        <w:t>Séance 2 : déclinaison 1 (approche temporelle)</w:t>
      </w:r>
    </w:p>
    <w:p w14:paraId="57C53B20" w14:textId="2904F522" w:rsidR="0075757D" w:rsidRPr="0075757D" w:rsidRDefault="0075757D" w:rsidP="0075757D">
      <w:pPr>
        <w:jc w:val="center"/>
        <w:rPr>
          <w:rFonts w:ascii="Calibri" w:hAnsi="Calibri" w:cs="Calibri"/>
          <w:b/>
          <w:bCs/>
          <w:color w:val="77206D" w:themeColor="accent5" w:themeShade="BF"/>
          <w:sz w:val="28"/>
          <w:szCs w:val="28"/>
        </w:rPr>
      </w:pPr>
      <w:r w:rsidRPr="0075757D">
        <w:rPr>
          <w:rFonts w:ascii="Calibri" w:hAnsi="Calibri" w:cs="Calibri"/>
          <w:b/>
          <w:bCs/>
          <w:color w:val="77206D" w:themeColor="accent5" w:themeShade="BF"/>
          <w:sz w:val="28"/>
          <w:szCs w:val="28"/>
        </w:rPr>
        <w:t>Grille des transformations</w:t>
      </w:r>
    </w:p>
    <w:p w14:paraId="49577EB4" w14:textId="77777777" w:rsidR="0075757D" w:rsidRPr="0075757D" w:rsidRDefault="0075757D" w:rsidP="0075757D">
      <w:pPr>
        <w:jc w:val="center"/>
        <w:rPr>
          <w:rFonts w:ascii="Calibri" w:hAnsi="Calibri" w:cs="Calibri"/>
          <w:b/>
          <w:bCs/>
          <w:color w:val="77206D" w:themeColor="accent5" w:themeShade="BF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2693"/>
        <w:gridCol w:w="2411"/>
        <w:gridCol w:w="2835"/>
        <w:gridCol w:w="2835"/>
      </w:tblGrid>
      <w:tr w:rsidR="0075757D" w:rsidRPr="0075757D" w14:paraId="71545E26" w14:textId="77777777" w:rsidTr="001D0106">
        <w:trPr>
          <w:trHeight w:val="1065"/>
        </w:trPr>
        <w:tc>
          <w:tcPr>
            <w:tcW w:w="2693" w:type="dxa"/>
            <w:shd w:val="clear" w:color="auto" w:fill="77206D" w:themeFill="accent5" w:themeFillShade="BF"/>
          </w:tcPr>
          <w:p w14:paraId="0C46B679" w14:textId="77777777" w:rsidR="0075757D" w:rsidRPr="0075757D" w:rsidRDefault="0075757D" w:rsidP="001D010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5757D">
              <w:rPr>
                <w:rFonts w:ascii="Calibri" w:hAnsi="Calibri" w:cs="Calibri"/>
                <w:b/>
                <w:bCs/>
                <w:color w:val="FFFFFF" w:themeColor="background1"/>
              </w:rPr>
              <w:t>Thématiques</w:t>
            </w:r>
          </w:p>
        </w:tc>
        <w:tc>
          <w:tcPr>
            <w:tcW w:w="2411" w:type="dxa"/>
            <w:shd w:val="clear" w:color="auto" w:fill="77206D" w:themeFill="accent5" w:themeFillShade="BF"/>
          </w:tcPr>
          <w:p w14:paraId="0FD308A4" w14:textId="77777777" w:rsidR="0075757D" w:rsidRPr="0075757D" w:rsidRDefault="0075757D" w:rsidP="001D010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5757D">
              <w:rPr>
                <w:rFonts w:ascii="Calibri" w:hAnsi="Calibri" w:cs="Calibri"/>
                <w:b/>
                <w:bCs/>
                <w:color w:val="FFFFFF" w:themeColor="background1"/>
              </w:rPr>
              <w:t>Ce qui existe aujourd’hui</w:t>
            </w:r>
          </w:p>
        </w:tc>
        <w:tc>
          <w:tcPr>
            <w:tcW w:w="2835" w:type="dxa"/>
            <w:shd w:val="clear" w:color="auto" w:fill="77206D" w:themeFill="accent5" w:themeFillShade="BF"/>
          </w:tcPr>
          <w:p w14:paraId="2DFF3666" w14:textId="77777777" w:rsidR="0075757D" w:rsidRPr="0075757D" w:rsidRDefault="0075757D" w:rsidP="001D010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5757D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Transformations possibles à </w:t>
            </w:r>
            <w:r w:rsidRPr="0075757D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</w:rPr>
              <w:t>(ajouter horizon de chaque groupe)</w:t>
            </w:r>
          </w:p>
        </w:tc>
        <w:tc>
          <w:tcPr>
            <w:tcW w:w="2835" w:type="dxa"/>
            <w:shd w:val="clear" w:color="auto" w:fill="77206D" w:themeFill="accent5" w:themeFillShade="BF"/>
          </w:tcPr>
          <w:p w14:paraId="32D6B116" w14:textId="77777777" w:rsidR="0075757D" w:rsidRPr="0075757D" w:rsidRDefault="0075757D" w:rsidP="001D010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5757D">
              <w:rPr>
                <w:rFonts w:ascii="Calibri" w:hAnsi="Calibri" w:cs="Calibri"/>
                <w:b/>
                <w:bCs/>
                <w:color w:val="FFFFFF" w:themeColor="background1"/>
              </w:rPr>
              <w:t>Conséquences pour l’université</w:t>
            </w:r>
          </w:p>
        </w:tc>
      </w:tr>
      <w:tr w:rsidR="0075757D" w:rsidRPr="0075757D" w14:paraId="60648E04" w14:textId="77777777" w:rsidTr="0075757D">
        <w:trPr>
          <w:trHeight w:val="1426"/>
        </w:trPr>
        <w:tc>
          <w:tcPr>
            <w:tcW w:w="2693" w:type="dxa"/>
          </w:tcPr>
          <w:p w14:paraId="4CACCABF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  <w:r w:rsidRPr="0075757D">
              <w:rPr>
                <w:rFonts w:ascii="Calibri" w:hAnsi="Calibri" w:cs="Calibri"/>
              </w:rPr>
              <w:t xml:space="preserve">Pédagogie et modalités d’apprentissages </w:t>
            </w:r>
          </w:p>
        </w:tc>
        <w:tc>
          <w:tcPr>
            <w:tcW w:w="2411" w:type="dxa"/>
          </w:tcPr>
          <w:p w14:paraId="1BEACD4B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  <w:r w:rsidRPr="0075757D">
              <w:rPr>
                <w:rFonts w:ascii="Calibri" w:hAnsi="Calibri" w:cs="Calibri"/>
              </w:rPr>
              <w:t>…</w:t>
            </w:r>
          </w:p>
        </w:tc>
        <w:tc>
          <w:tcPr>
            <w:tcW w:w="2835" w:type="dxa"/>
          </w:tcPr>
          <w:p w14:paraId="19D269CD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  <w:r w:rsidRPr="0075757D">
              <w:rPr>
                <w:rFonts w:ascii="Calibri" w:hAnsi="Calibri" w:cs="Calibri"/>
              </w:rPr>
              <w:t>….</w:t>
            </w:r>
          </w:p>
        </w:tc>
        <w:tc>
          <w:tcPr>
            <w:tcW w:w="2835" w:type="dxa"/>
          </w:tcPr>
          <w:p w14:paraId="38318FC0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  <w:r w:rsidRPr="0075757D">
              <w:rPr>
                <w:rFonts w:ascii="Calibri" w:hAnsi="Calibri" w:cs="Calibri"/>
              </w:rPr>
              <w:t>….</w:t>
            </w:r>
          </w:p>
        </w:tc>
      </w:tr>
      <w:tr w:rsidR="0075757D" w:rsidRPr="0075757D" w14:paraId="2F629D82" w14:textId="77777777" w:rsidTr="0075757D">
        <w:trPr>
          <w:trHeight w:val="1262"/>
        </w:trPr>
        <w:tc>
          <w:tcPr>
            <w:tcW w:w="2693" w:type="dxa"/>
          </w:tcPr>
          <w:p w14:paraId="0CA9246B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  <w:r w:rsidRPr="0075757D">
              <w:rPr>
                <w:rFonts w:ascii="Calibri" w:hAnsi="Calibri" w:cs="Calibri"/>
              </w:rPr>
              <w:t xml:space="preserve">Rapports entre étudiants et enseignants </w:t>
            </w:r>
          </w:p>
        </w:tc>
        <w:tc>
          <w:tcPr>
            <w:tcW w:w="2411" w:type="dxa"/>
          </w:tcPr>
          <w:p w14:paraId="4FE6E51A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67EFF42E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7B776B77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</w:p>
        </w:tc>
      </w:tr>
      <w:tr w:rsidR="0075757D" w:rsidRPr="0075757D" w14:paraId="071561C5" w14:textId="77777777" w:rsidTr="0075757D">
        <w:trPr>
          <w:trHeight w:val="1125"/>
        </w:trPr>
        <w:tc>
          <w:tcPr>
            <w:tcW w:w="2693" w:type="dxa"/>
          </w:tcPr>
          <w:p w14:paraId="75413FA4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  <w:r w:rsidRPr="0075757D">
              <w:rPr>
                <w:rFonts w:ascii="Calibri" w:hAnsi="Calibri" w:cs="Calibri"/>
              </w:rPr>
              <w:t xml:space="preserve">Infrastructures et campus </w:t>
            </w:r>
          </w:p>
        </w:tc>
        <w:tc>
          <w:tcPr>
            <w:tcW w:w="2411" w:type="dxa"/>
          </w:tcPr>
          <w:p w14:paraId="6333785A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489D059D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4AED279C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</w:p>
        </w:tc>
      </w:tr>
      <w:tr w:rsidR="0075757D" w:rsidRPr="0075757D" w14:paraId="40C811F6" w14:textId="77777777" w:rsidTr="0075757D">
        <w:trPr>
          <w:trHeight w:val="1113"/>
        </w:trPr>
        <w:tc>
          <w:tcPr>
            <w:tcW w:w="2693" w:type="dxa"/>
          </w:tcPr>
          <w:p w14:paraId="5A546ABA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  <w:r w:rsidRPr="0075757D">
              <w:rPr>
                <w:rFonts w:ascii="Calibri" w:hAnsi="Calibri" w:cs="Calibri"/>
              </w:rPr>
              <w:t>Technologies éducatives</w:t>
            </w:r>
          </w:p>
        </w:tc>
        <w:tc>
          <w:tcPr>
            <w:tcW w:w="2411" w:type="dxa"/>
          </w:tcPr>
          <w:p w14:paraId="738F4931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5AF7E505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7319D332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</w:p>
        </w:tc>
      </w:tr>
      <w:tr w:rsidR="0075757D" w:rsidRPr="0075757D" w14:paraId="5685E442" w14:textId="77777777" w:rsidTr="0075757D">
        <w:trPr>
          <w:trHeight w:val="1709"/>
        </w:trPr>
        <w:tc>
          <w:tcPr>
            <w:tcW w:w="2693" w:type="dxa"/>
          </w:tcPr>
          <w:p w14:paraId="5665DA51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  <w:r w:rsidRPr="0075757D">
              <w:rPr>
                <w:rFonts w:ascii="Calibri" w:hAnsi="Calibri" w:cs="Calibri"/>
              </w:rPr>
              <w:t xml:space="preserve">Environnement et transition durable </w:t>
            </w:r>
          </w:p>
        </w:tc>
        <w:tc>
          <w:tcPr>
            <w:tcW w:w="2411" w:type="dxa"/>
          </w:tcPr>
          <w:p w14:paraId="1C752800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558C41EB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00C9BDE0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</w:p>
        </w:tc>
      </w:tr>
      <w:tr w:rsidR="0075757D" w:rsidRPr="0075757D" w14:paraId="1BABBAD4" w14:textId="77777777" w:rsidTr="0075757D">
        <w:trPr>
          <w:trHeight w:val="1506"/>
        </w:trPr>
        <w:tc>
          <w:tcPr>
            <w:tcW w:w="2693" w:type="dxa"/>
          </w:tcPr>
          <w:p w14:paraId="6992A66B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  <w:r w:rsidRPr="0075757D">
              <w:rPr>
                <w:rFonts w:ascii="Calibri" w:hAnsi="Calibri" w:cs="Calibri"/>
              </w:rPr>
              <w:t xml:space="preserve">Recherche et innovation </w:t>
            </w:r>
          </w:p>
        </w:tc>
        <w:tc>
          <w:tcPr>
            <w:tcW w:w="2411" w:type="dxa"/>
          </w:tcPr>
          <w:p w14:paraId="3A07587F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46DAE31E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5647CDB7" w14:textId="77777777" w:rsidR="0075757D" w:rsidRPr="0075757D" w:rsidRDefault="0075757D" w:rsidP="001D0106">
            <w:pPr>
              <w:rPr>
                <w:rFonts w:ascii="Calibri" w:hAnsi="Calibri" w:cs="Calibri"/>
              </w:rPr>
            </w:pPr>
          </w:p>
        </w:tc>
      </w:tr>
    </w:tbl>
    <w:p w14:paraId="44911105" w14:textId="77777777" w:rsidR="0075757D" w:rsidRPr="0075757D" w:rsidRDefault="0075757D">
      <w:pPr>
        <w:rPr>
          <w:rFonts w:ascii="Calibri" w:hAnsi="Calibri" w:cs="Calibri"/>
        </w:rPr>
      </w:pPr>
    </w:p>
    <w:sectPr w:rsidR="0075757D" w:rsidRPr="00757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7D"/>
    <w:rsid w:val="00046A7F"/>
    <w:rsid w:val="001315D6"/>
    <w:rsid w:val="005A0602"/>
    <w:rsid w:val="0075757D"/>
    <w:rsid w:val="00A249D3"/>
    <w:rsid w:val="00EC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39F02D"/>
  <w15:chartTrackingRefBased/>
  <w15:docId w15:val="{74E1A911-00CD-1348-8D9C-94337516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7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7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7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7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7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7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7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7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7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7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7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7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75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75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75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75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75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75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7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7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7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7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7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75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75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75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7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75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757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57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gresset</dc:creator>
  <cp:keywords/>
  <dc:description/>
  <cp:lastModifiedBy>Emma gresset</cp:lastModifiedBy>
  <cp:revision>1</cp:revision>
  <dcterms:created xsi:type="dcterms:W3CDTF">2025-12-17T12:20:00Z</dcterms:created>
  <dcterms:modified xsi:type="dcterms:W3CDTF">2025-12-17T12:24:00Z</dcterms:modified>
</cp:coreProperties>
</file>