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C1F0" w14:textId="77777777" w:rsidR="00B803D8" w:rsidRDefault="00000000">
      <w:pPr>
        <w:pBdr>
          <w:top w:val="nil"/>
          <w:left w:val="nil"/>
          <w:bottom w:val="nil"/>
          <w:right w:val="nil"/>
          <w:between w:val="nil"/>
        </w:pBdr>
        <w:spacing w:before="3000" w:after="240"/>
        <w:jc w:val="center"/>
        <w:rPr>
          <w:rFonts w:ascii="Aptos Light" w:eastAsia="Aptos Light" w:hAnsi="Aptos Light" w:cs="Aptos Light"/>
          <w:color w:val="404040"/>
          <w:sz w:val="56"/>
          <w:szCs w:val="56"/>
        </w:rPr>
      </w:pPr>
      <w:r>
        <w:rPr>
          <w:rFonts w:ascii="Aptos Light" w:eastAsia="Aptos Light" w:hAnsi="Aptos Light" w:cs="Aptos Light"/>
          <w:noProof/>
          <w:color w:val="404040"/>
          <w:sz w:val="56"/>
          <w:szCs w:val="56"/>
        </w:rPr>
        <w:drawing>
          <wp:anchor distT="0" distB="0" distL="114300" distR="114300" simplePos="0" relativeHeight="251658240" behindDoc="0" locked="0" layoutInCell="1" hidden="0" allowOverlap="1" wp14:anchorId="7A5C7C3C" wp14:editId="4916FE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935" cy="2397600"/>
            <wp:effectExtent l="0" t="0" r="0" b="0"/>
            <wp:wrapSquare wrapText="bothSides" distT="0" distB="0" distL="114300" distR="114300"/>
            <wp:docPr id="214523269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935" cy="239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ptos Light" w:eastAsia="Aptos Light" w:hAnsi="Aptos Light" w:cs="Aptos Light"/>
          <w:color w:val="404040"/>
          <w:sz w:val="56"/>
          <w:szCs w:val="56"/>
        </w:rPr>
        <w:t>Travaux dirigés</w:t>
      </w:r>
    </w:p>
    <w:p w14:paraId="65B1B416" w14:textId="5B890BAB" w:rsidR="00B803D8" w:rsidRPr="00AA62D2" w:rsidRDefault="002D1FA2" w:rsidP="00AA62D2">
      <w:pPr>
        <w:pStyle w:val="Titre"/>
      </w:pPr>
      <w:r w:rsidRPr="002D1FA2">
        <w:t xml:space="preserve">Influence des paramètres d’usinage sur la consommation énergétique </w:t>
      </w:r>
      <w:r>
        <w:br w:type="page"/>
      </w:r>
    </w:p>
    <w:p w14:paraId="10977D28" w14:textId="77777777" w:rsidR="002D1FA2" w:rsidRPr="006379D0" w:rsidRDefault="002D1FA2" w:rsidP="001233E9">
      <w:pPr>
        <w:pStyle w:val="Titre3"/>
        <w:rPr>
          <w:b/>
          <w:bCs/>
          <w:w w:val="85"/>
        </w:rPr>
      </w:pPr>
      <w:r w:rsidRPr="006379D0">
        <w:rPr>
          <w:b/>
          <w:bCs/>
          <w:w w:val="85"/>
        </w:rPr>
        <w:lastRenderedPageBreak/>
        <w:t>Objectifs</w:t>
      </w:r>
    </w:p>
    <w:p w14:paraId="4E3EB701" w14:textId="77777777" w:rsidR="00D020E1" w:rsidRDefault="002D1FA2" w:rsidP="002D1FA2">
      <w:r w:rsidRPr="002D1FA2">
        <w:t xml:space="preserve">Il s’agit de définir l’impact de paramètres d’usinage sur la consommation énergétique d’une machine d’usinage tour commande numérique 2 axes. </w:t>
      </w:r>
    </w:p>
    <w:p w14:paraId="1EA9226D" w14:textId="15C55446" w:rsidR="002D1FA2" w:rsidRPr="00D020E1" w:rsidRDefault="002D1FA2" w:rsidP="00D020E1">
      <w:pPr>
        <w:jc w:val="center"/>
        <w:rPr>
          <w:i/>
          <w:iCs/>
        </w:rPr>
      </w:pPr>
      <w:r w:rsidRPr="00D020E1">
        <w:rPr>
          <w:i/>
          <w:iCs/>
        </w:rPr>
        <w:t>3 groupes peuvent être fait pour séparer le travail et réaliser une restitution de leurs résultats aux autres groupes.</w:t>
      </w:r>
    </w:p>
    <w:p w14:paraId="599A8098" w14:textId="77777777" w:rsidR="002D1FA2" w:rsidRPr="00D95F66" w:rsidRDefault="002D1FA2" w:rsidP="002D1FA2">
      <w:pPr>
        <w:rPr>
          <w:b/>
          <w:bCs/>
        </w:rPr>
      </w:pPr>
      <w:r w:rsidRPr="00D95F66">
        <w:rPr>
          <w:b/>
          <w:bCs/>
        </w:rPr>
        <w:t>Lors de la dernière heure de TP chaque groupe préparera une présentation de ses résultats. Cela constituera l’évaluation de cette activité.</w:t>
      </w:r>
    </w:p>
    <w:p w14:paraId="17442E9F" w14:textId="77777777" w:rsidR="002D1FA2" w:rsidRPr="002D1FA2" w:rsidRDefault="002D1FA2" w:rsidP="002D1FA2">
      <w:r w:rsidRPr="002D1FA2">
        <w:t xml:space="preserve">3 campagnes d’essais seront réalisées (une pour chaque groupe)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9"/>
        <w:gridCol w:w="1574"/>
        <w:gridCol w:w="2412"/>
        <w:gridCol w:w="982"/>
        <w:gridCol w:w="1019"/>
        <w:gridCol w:w="1036"/>
      </w:tblGrid>
      <w:tr w:rsidR="002D1FA2" w:rsidRPr="002D1FA2" w14:paraId="6734E1F4" w14:textId="77777777"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56B7" w14:textId="77777777" w:rsidR="002D1FA2" w:rsidRPr="002D1FA2" w:rsidRDefault="002D1FA2" w:rsidP="00AA62D2"/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72DC" w14:textId="77777777" w:rsidR="002D1FA2" w:rsidRPr="002D1FA2" w:rsidRDefault="002D1FA2" w:rsidP="006379D0">
            <w:pPr>
              <w:jc w:val="center"/>
            </w:pPr>
            <w:r w:rsidRPr="002D1FA2">
              <w:t>Lubrification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4D98" w14:textId="77777777" w:rsidR="002D1FA2" w:rsidRPr="002D1FA2" w:rsidRDefault="002D1FA2" w:rsidP="006379D0">
            <w:pPr>
              <w:jc w:val="center"/>
            </w:pPr>
            <w:r w:rsidRPr="002D1FA2">
              <w:t>Matériaux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9ABB" w14:textId="77777777" w:rsidR="002D1FA2" w:rsidRPr="002D1FA2" w:rsidRDefault="002D1FA2" w:rsidP="006379D0">
            <w:pPr>
              <w:jc w:val="center"/>
            </w:pPr>
            <w:r w:rsidRPr="002D1FA2">
              <w:t>Conditions de coupe</w:t>
            </w:r>
          </w:p>
        </w:tc>
      </w:tr>
      <w:tr w:rsidR="002D1FA2" w:rsidRPr="002D1FA2" w14:paraId="12DC3B6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4EAA" w14:textId="77777777" w:rsidR="002D1FA2" w:rsidRPr="002D1FA2" w:rsidRDefault="002D1FA2" w:rsidP="00AA62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C7B8" w14:textId="77777777" w:rsidR="002D1FA2" w:rsidRPr="002D1FA2" w:rsidRDefault="002D1FA2" w:rsidP="00AA62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B058" w14:textId="77777777" w:rsidR="002D1FA2" w:rsidRPr="002D1FA2" w:rsidRDefault="002D1FA2" w:rsidP="00AA62D2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D2EB" w14:textId="77777777" w:rsidR="002D1FA2" w:rsidRPr="002D1FA2" w:rsidRDefault="002D1FA2" w:rsidP="00AA62D2">
            <w:proofErr w:type="spellStart"/>
            <w:proofErr w:type="gramStart"/>
            <w:r w:rsidRPr="002D1FA2">
              <w:t>ap</w:t>
            </w:r>
            <w:proofErr w:type="spellEnd"/>
            <w:proofErr w:type="gram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6EFF" w14:textId="77777777" w:rsidR="002D1FA2" w:rsidRPr="002D1FA2" w:rsidRDefault="002D1FA2" w:rsidP="00AA62D2">
            <w:proofErr w:type="spellStart"/>
            <w:r w:rsidRPr="002D1FA2">
              <w:t>Vc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D626" w14:textId="77777777" w:rsidR="002D1FA2" w:rsidRPr="002D1FA2" w:rsidRDefault="002D1FA2" w:rsidP="00AA62D2">
            <w:proofErr w:type="gramStart"/>
            <w:r w:rsidRPr="002D1FA2">
              <w:t>f</w:t>
            </w:r>
            <w:proofErr w:type="gramEnd"/>
          </w:p>
        </w:tc>
      </w:tr>
      <w:tr w:rsidR="002D1FA2" w:rsidRPr="002D1FA2" w14:paraId="2922BF9C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E930" w14:textId="77777777" w:rsidR="002D1FA2" w:rsidRPr="002D1FA2" w:rsidRDefault="002D1FA2" w:rsidP="006379D0">
            <w:pPr>
              <w:jc w:val="left"/>
            </w:pPr>
            <w:r w:rsidRPr="002D1FA2">
              <w:t>Campagne lubrification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19934" w14:textId="77777777" w:rsidR="002D1FA2" w:rsidRPr="002D1FA2" w:rsidRDefault="002D1FA2" w:rsidP="006379D0">
            <w:pPr>
              <w:jc w:val="left"/>
              <w:rPr>
                <w:b/>
              </w:rPr>
            </w:pPr>
            <w:r w:rsidRPr="002D1FA2">
              <w:rPr>
                <w:b/>
              </w:rPr>
              <w:t>Oui et non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0D4C" w14:textId="77777777" w:rsidR="002D1FA2" w:rsidRPr="002D1FA2" w:rsidRDefault="002D1FA2" w:rsidP="006379D0">
            <w:pPr>
              <w:jc w:val="left"/>
            </w:pPr>
            <w:r w:rsidRPr="002D1FA2">
              <w:t>Acier</w:t>
            </w:r>
          </w:p>
          <w:p w14:paraId="3B8DF94C" w14:textId="77777777" w:rsidR="002D1FA2" w:rsidRPr="002D1FA2" w:rsidRDefault="002D1FA2" w:rsidP="006379D0">
            <w:pPr>
              <w:jc w:val="left"/>
              <w:rPr>
                <w:i/>
              </w:rPr>
            </w:pPr>
            <w:r w:rsidRPr="002D1FA2">
              <w:rPr>
                <w:i/>
              </w:rPr>
              <w:t>Vérifier le nettoyage de la machine avant usinage avant usinage de l’acier. Bien nettoyer après.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A689" w14:textId="77777777" w:rsidR="002D1FA2" w:rsidRPr="002D1FA2" w:rsidRDefault="002D1FA2" w:rsidP="006379D0">
            <w:pPr>
              <w:jc w:val="left"/>
            </w:pPr>
            <w:r w:rsidRPr="002D1FA2"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AC03" w14:textId="77777777" w:rsidR="002D1FA2" w:rsidRPr="002D1FA2" w:rsidRDefault="002D1FA2" w:rsidP="006379D0">
            <w:pPr>
              <w:jc w:val="left"/>
            </w:pPr>
            <w:r w:rsidRPr="002D1FA2"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CB8D" w14:textId="77777777" w:rsidR="002D1FA2" w:rsidRPr="002D1FA2" w:rsidRDefault="002D1FA2" w:rsidP="006379D0">
            <w:pPr>
              <w:jc w:val="left"/>
            </w:pPr>
            <w:r w:rsidRPr="002D1FA2">
              <w:t>0.15</w:t>
            </w:r>
          </w:p>
        </w:tc>
      </w:tr>
      <w:tr w:rsidR="002D1FA2" w:rsidRPr="002D1FA2" w14:paraId="4449B587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7FEA" w14:textId="77777777" w:rsidR="002D1FA2" w:rsidRPr="002D1FA2" w:rsidRDefault="002D1FA2" w:rsidP="006379D0">
            <w:pPr>
              <w:jc w:val="left"/>
            </w:pPr>
            <w:r w:rsidRPr="002D1FA2">
              <w:t>Campagne matériaux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F58" w14:textId="77777777" w:rsidR="002D1FA2" w:rsidRPr="002D1FA2" w:rsidRDefault="002D1FA2" w:rsidP="006379D0">
            <w:pPr>
              <w:jc w:val="left"/>
            </w:pPr>
            <w:r w:rsidRPr="002D1FA2">
              <w:t>Oui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68CEB" w14:textId="77777777" w:rsidR="002D1FA2" w:rsidRPr="002D1FA2" w:rsidRDefault="002D1FA2" w:rsidP="006379D0">
            <w:pPr>
              <w:jc w:val="left"/>
              <w:rPr>
                <w:b/>
              </w:rPr>
            </w:pPr>
            <w:r w:rsidRPr="002D1FA2">
              <w:rPr>
                <w:b/>
              </w:rPr>
              <w:t>Alu et Acier</w:t>
            </w:r>
          </w:p>
          <w:p w14:paraId="6308E710" w14:textId="77777777" w:rsidR="002D1FA2" w:rsidRPr="002D1FA2" w:rsidRDefault="002D1FA2" w:rsidP="006379D0">
            <w:pPr>
              <w:jc w:val="left"/>
            </w:pPr>
            <w:r w:rsidRPr="002D1FA2">
              <w:rPr>
                <w:b/>
                <w:i/>
              </w:rPr>
              <w:t>Vérifier le nettoyage de la machine avant usinage de l’acier. Bien nettoyer après.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4CE4" w14:textId="77777777" w:rsidR="002D1FA2" w:rsidRPr="002D1FA2" w:rsidRDefault="002D1FA2" w:rsidP="006379D0">
            <w:pPr>
              <w:jc w:val="left"/>
            </w:pPr>
            <w:r w:rsidRPr="002D1FA2"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BF3C" w14:textId="77777777" w:rsidR="002D1FA2" w:rsidRPr="002D1FA2" w:rsidRDefault="002D1FA2" w:rsidP="006379D0">
            <w:pPr>
              <w:jc w:val="left"/>
            </w:pPr>
            <w:r w:rsidRPr="002D1FA2"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5D07" w14:textId="77777777" w:rsidR="002D1FA2" w:rsidRPr="002D1FA2" w:rsidRDefault="002D1FA2" w:rsidP="006379D0">
            <w:pPr>
              <w:jc w:val="left"/>
            </w:pPr>
            <w:r w:rsidRPr="002D1FA2">
              <w:t>0.15</w:t>
            </w:r>
          </w:p>
        </w:tc>
      </w:tr>
      <w:tr w:rsidR="002D1FA2" w:rsidRPr="002D1FA2" w14:paraId="14021C62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C9AB" w14:textId="77777777" w:rsidR="002D1FA2" w:rsidRPr="002D1FA2" w:rsidRDefault="002D1FA2" w:rsidP="006379D0">
            <w:pPr>
              <w:jc w:val="left"/>
            </w:pPr>
            <w:r w:rsidRPr="002D1FA2">
              <w:t>Campagne conditions de coupe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5DA" w14:textId="77777777" w:rsidR="002D1FA2" w:rsidRPr="002D1FA2" w:rsidRDefault="002D1FA2" w:rsidP="006379D0">
            <w:pPr>
              <w:jc w:val="left"/>
            </w:pPr>
            <w:r w:rsidRPr="002D1FA2">
              <w:t>Oui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E923" w14:textId="77777777" w:rsidR="002D1FA2" w:rsidRPr="002D1FA2" w:rsidRDefault="002D1FA2" w:rsidP="006379D0">
            <w:pPr>
              <w:jc w:val="left"/>
            </w:pPr>
            <w:r w:rsidRPr="002D1FA2">
              <w:t>Alu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1E81C" w14:textId="77777777" w:rsidR="002D1FA2" w:rsidRPr="002D1FA2" w:rsidRDefault="002D1FA2" w:rsidP="006379D0">
            <w:pPr>
              <w:jc w:val="left"/>
              <w:rPr>
                <w:b/>
              </w:rPr>
            </w:pPr>
            <w:r w:rsidRPr="002D1FA2">
              <w:rPr>
                <w:b/>
              </w:rPr>
              <w:t>1 / 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278DF" w14:textId="77777777" w:rsidR="002D1FA2" w:rsidRPr="002D1FA2" w:rsidRDefault="002D1FA2" w:rsidP="006379D0">
            <w:pPr>
              <w:jc w:val="left"/>
              <w:rPr>
                <w:b/>
              </w:rPr>
            </w:pPr>
            <w:r w:rsidRPr="002D1FA2">
              <w:rPr>
                <w:b/>
              </w:rPr>
              <w:t>150 / 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40936" w14:textId="77777777" w:rsidR="002D1FA2" w:rsidRPr="002D1FA2" w:rsidRDefault="002D1FA2" w:rsidP="006379D0">
            <w:pPr>
              <w:jc w:val="left"/>
              <w:rPr>
                <w:b/>
              </w:rPr>
            </w:pPr>
            <w:r w:rsidRPr="002D1FA2">
              <w:rPr>
                <w:b/>
              </w:rPr>
              <w:t>0.15 / 0.08</w:t>
            </w:r>
          </w:p>
        </w:tc>
      </w:tr>
    </w:tbl>
    <w:p w14:paraId="3007A52F" w14:textId="77777777" w:rsidR="002D1FA2" w:rsidRPr="002D1FA2" w:rsidRDefault="002D1FA2" w:rsidP="002D1FA2"/>
    <w:p w14:paraId="3058BDCA" w14:textId="77777777" w:rsidR="002D1FA2" w:rsidRPr="001233E9" w:rsidRDefault="002D1FA2" w:rsidP="001233E9">
      <w:pPr>
        <w:rPr>
          <w:b/>
          <w:bCs/>
          <w:color w:val="0F4761"/>
        </w:rPr>
      </w:pPr>
      <w:r w:rsidRPr="001233E9">
        <w:rPr>
          <w:b/>
          <w:bCs/>
          <w:color w:val="0F4761"/>
        </w:rPr>
        <w:t>Matériel</w:t>
      </w:r>
    </w:p>
    <w:p w14:paraId="5775AD52" w14:textId="77777777" w:rsidR="002D1FA2" w:rsidRPr="002D1FA2" w:rsidRDefault="002D1FA2" w:rsidP="002D1FA2">
      <w:pPr>
        <w:numPr>
          <w:ilvl w:val="0"/>
          <w:numId w:val="3"/>
        </w:numPr>
      </w:pPr>
      <w:r w:rsidRPr="002D1FA2">
        <w:t>Tour à Commande Numérique 2 axes</w:t>
      </w:r>
    </w:p>
    <w:p w14:paraId="588712CE" w14:textId="77777777" w:rsidR="002D1FA2" w:rsidRPr="002D1FA2" w:rsidRDefault="002D1FA2" w:rsidP="002D1FA2">
      <w:pPr>
        <w:numPr>
          <w:ilvl w:val="0"/>
          <w:numId w:val="3"/>
        </w:numPr>
      </w:pPr>
      <w:r w:rsidRPr="002D1FA2">
        <w:t>Dispositif de mesure de la consommation électrique (au choix) instrumenté sur l’alimentation de la machine-outil :</w:t>
      </w:r>
    </w:p>
    <w:p w14:paraId="50E957E1" w14:textId="77777777" w:rsidR="002D1FA2" w:rsidRPr="002D1FA2" w:rsidRDefault="002D1FA2" w:rsidP="002D1FA2">
      <w:pPr>
        <w:numPr>
          <w:ilvl w:val="1"/>
          <w:numId w:val="3"/>
        </w:numPr>
      </w:pPr>
      <w:r w:rsidRPr="002D1FA2">
        <w:t>Wattmètre monophasé : besoin de faire des calculs d’électrotechnique pour remonter à l’énergie réelle, besoin de mesurer le temps d’usinage au chronomètre</w:t>
      </w:r>
    </w:p>
    <w:p w14:paraId="22DD33EC" w14:textId="77777777" w:rsidR="002D1FA2" w:rsidRPr="002D1FA2" w:rsidRDefault="002D1FA2" w:rsidP="002D1FA2">
      <w:pPr>
        <w:numPr>
          <w:ilvl w:val="1"/>
          <w:numId w:val="3"/>
        </w:numPr>
      </w:pPr>
      <w:proofErr w:type="spellStart"/>
      <w:r w:rsidRPr="002D1FA2">
        <w:t>Énergiemètre</w:t>
      </w:r>
      <w:proofErr w:type="spellEnd"/>
      <w:r w:rsidRPr="002D1FA2">
        <w:t xml:space="preserve"> triphasé : résultat direct avec intégration du facteur de puissance</w:t>
      </w:r>
    </w:p>
    <w:p w14:paraId="1B1DAEC4" w14:textId="77777777" w:rsidR="002D1FA2" w:rsidRPr="002D1FA2" w:rsidRDefault="002D1FA2" w:rsidP="002D1FA2">
      <w:pPr>
        <w:numPr>
          <w:ilvl w:val="0"/>
          <w:numId w:val="3"/>
        </w:numPr>
      </w:pPr>
      <w:r w:rsidRPr="002D1FA2">
        <w:t xml:space="preserve">Outil coupant : outil à charioter/dresser </w:t>
      </w:r>
    </w:p>
    <w:p w14:paraId="5CC65A5C" w14:textId="77777777" w:rsidR="002D1FA2" w:rsidRPr="001233E9" w:rsidRDefault="002D1FA2" w:rsidP="002D1FA2">
      <w:pPr>
        <w:rPr>
          <w:b/>
          <w:bCs/>
          <w:color w:val="0F4761"/>
        </w:rPr>
      </w:pPr>
      <w:r w:rsidRPr="001233E9">
        <w:rPr>
          <w:b/>
          <w:bCs/>
          <w:color w:val="0F4761"/>
        </w:rPr>
        <w:t>Recommandations </w:t>
      </w:r>
    </w:p>
    <w:p w14:paraId="40856E5D" w14:textId="77777777" w:rsidR="002D1FA2" w:rsidRPr="002D1FA2" w:rsidRDefault="002D1FA2" w:rsidP="002D1FA2">
      <w:pPr>
        <w:numPr>
          <w:ilvl w:val="0"/>
          <w:numId w:val="3"/>
        </w:numPr>
      </w:pPr>
      <w:r w:rsidRPr="002D1FA2">
        <w:t>Opération d’usinage -&gt; chariotage</w:t>
      </w:r>
    </w:p>
    <w:p w14:paraId="59E7B1B0" w14:textId="77777777" w:rsidR="002D1FA2" w:rsidRPr="002D1FA2" w:rsidRDefault="002D1FA2" w:rsidP="002D1FA2">
      <w:pPr>
        <w:numPr>
          <w:ilvl w:val="0"/>
          <w:numId w:val="3"/>
        </w:numPr>
      </w:pPr>
      <w:r w:rsidRPr="002D1FA2">
        <w:t>Garder une longueur de sécurité entre la fin d’usinage et les mors -&gt; 5 mm mini</w:t>
      </w:r>
    </w:p>
    <w:p w14:paraId="289886DA" w14:textId="77777777" w:rsidR="002D1FA2" w:rsidRPr="002D1FA2" w:rsidRDefault="002D1FA2" w:rsidP="002D1FA2">
      <w:pPr>
        <w:numPr>
          <w:ilvl w:val="0"/>
          <w:numId w:val="3"/>
        </w:numPr>
      </w:pPr>
      <w:r w:rsidRPr="002D1FA2">
        <w:lastRenderedPageBreak/>
        <w:t xml:space="preserve">Pour comparer les consommations, vous devez veiller à usiner sur le même diamètre lors de tous les essais. Justifiez la raison. </w:t>
      </w:r>
      <w:bookmarkStart w:id="0" w:name="_Hlk166752097"/>
    </w:p>
    <w:p w14:paraId="7E7A31D5" w14:textId="77777777" w:rsidR="002D1FA2" w:rsidRPr="002D1FA2" w:rsidRDefault="002D1FA2" w:rsidP="002D1FA2">
      <w:pPr>
        <w:numPr>
          <w:ilvl w:val="0"/>
          <w:numId w:val="3"/>
        </w:numPr>
      </w:pPr>
      <w:r w:rsidRPr="002D1FA2">
        <w:t xml:space="preserve">La consommation énergétique de chaque essai sera mesurée. Il sera nécessaire de mesurer la puissance à vide, ainsi que le temps machine utilisée à vide. Il sera nécessaire de mesurer la puissance pendant l’opération. Le temps d’usinage sera calculé et sera comparé à sa mesure réelle. </w:t>
      </w:r>
    </w:p>
    <w:bookmarkEnd w:id="0"/>
    <w:p w14:paraId="30D6B403" w14:textId="77777777" w:rsidR="002D1FA2" w:rsidRPr="001233E9" w:rsidRDefault="002D1FA2" w:rsidP="002D1FA2">
      <w:pPr>
        <w:rPr>
          <w:b/>
          <w:bCs/>
          <w:color w:val="0F4761"/>
        </w:rPr>
      </w:pPr>
      <w:r w:rsidRPr="001233E9">
        <w:rPr>
          <w:b/>
          <w:bCs/>
          <w:color w:val="0F4761"/>
        </w:rPr>
        <w:t xml:space="preserve">Livrables  </w:t>
      </w:r>
    </w:p>
    <w:p w14:paraId="7C7532F0" w14:textId="4C73C90E" w:rsidR="00D06CF7" w:rsidRDefault="002D1FA2" w:rsidP="006379D0">
      <w:pPr>
        <w:numPr>
          <w:ilvl w:val="0"/>
          <w:numId w:val="3"/>
        </w:numPr>
      </w:pPr>
      <w:r w:rsidRPr="002D1FA2">
        <w:t>Un oral avec un support de présentation orale suffisamment complet pour servir de compte rendu au TP.</w:t>
      </w:r>
    </w:p>
    <w:p w14:paraId="0E1AFF47" w14:textId="15943BC1" w:rsidR="002D1FA2" w:rsidRPr="00D06CF7" w:rsidRDefault="002D1FA2" w:rsidP="00D06CF7">
      <w:pPr>
        <w:pStyle w:val="Titre1"/>
        <w:rPr>
          <w:w w:val="100"/>
        </w:rPr>
      </w:pPr>
      <w:r w:rsidRPr="00D06CF7">
        <w:t>Travail à réaliser</w:t>
      </w:r>
    </w:p>
    <w:p w14:paraId="3CBFF5EC" w14:textId="1CDAFC1C" w:rsidR="002D1FA2" w:rsidRPr="006379D0" w:rsidRDefault="002D1FA2" w:rsidP="006379D0">
      <w:pPr>
        <w:pStyle w:val="Titre2"/>
        <w:numPr>
          <w:ilvl w:val="0"/>
          <w:numId w:val="10"/>
        </w:numPr>
      </w:pPr>
      <w:r w:rsidRPr="006379D0">
        <w:t>Préparation</w:t>
      </w:r>
    </w:p>
    <w:p w14:paraId="2B4A423E" w14:textId="77777777" w:rsidR="002D1FA2" w:rsidRPr="001233E9" w:rsidRDefault="002D1FA2" w:rsidP="002D1FA2">
      <w:pPr>
        <w:rPr>
          <w:i/>
          <w:iCs/>
        </w:rPr>
      </w:pPr>
      <w:r w:rsidRPr="001233E9">
        <w:rPr>
          <w:i/>
          <w:iCs/>
        </w:rPr>
        <w:t>Définir les 3 groupes de travail et choisir la campagne d’essais qui sera réalisée.</w:t>
      </w:r>
    </w:p>
    <w:p w14:paraId="5ADC0064" w14:textId="77777777" w:rsidR="002D1FA2" w:rsidRPr="002D1FA2" w:rsidRDefault="002D1FA2" w:rsidP="002D1FA2">
      <w:r w:rsidRPr="002D1FA2">
        <w:t xml:space="preserve">En vous appuyant sur les recommandations précédentes, proposer un protocole d’essais qui permettent de comparer la consommation énergétique dans les cas proposés. Ce protocole doit contenir : </w:t>
      </w:r>
    </w:p>
    <w:p w14:paraId="4507DB30" w14:textId="77777777" w:rsidR="002D1FA2" w:rsidRPr="002D1FA2" w:rsidRDefault="002D1FA2" w:rsidP="002D1FA2">
      <w:pPr>
        <w:numPr>
          <w:ilvl w:val="0"/>
          <w:numId w:val="4"/>
        </w:numPr>
      </w:pPr>
      <w:r w:rsidRPr="006379D0">
        <w:rPr>
          <w:b/>
          <w:bCs/>
        </w:rPr>
        <w:t>La procédure d’essais.</w:t>
      </w:r>
      <w:r w:rsidRPr="002D1FA2">
        <w:t xml:space="preserve"> Elle doit être la plus précise possible. Les moments où seront prises les mesures doivent être repérés. </w:t>
      </w:r>
    </w:p>
    <w:p w14:paraId="597098A0" w14:textId="77777777" w:rsidR="002D1FA2" w:rsidRPr="002D1FA2" w:rsidRDefault="002D1FA2" w:rsidP="002D1FA2">
      <w:pPr>
        <w:numPr>
          <w:ilvl w:val="0"/>
          <w:numId w:val="4"/>
        </w:numPr>
      </w:pPr>
      <w:r w:rsidRPr="006379D0">
        <w:rPr>
          <w:b/>
          <w:bCs/>
        </w:rPr>
        <w:t>Les contrats de phase complétés pour chaque phase. Une</w:t>
      </w:r>
      <w:r w:rsidRPr="002D1FA2">
        <w:t xml:space="preserve"> phase peut comprendre plusieurs essais.</w:t>
      </w:r>
    </w:p>
    <w:p w14:paraId="4F9C2A4F" w14:textId="77777777" w:rsidR="002D1FA2" w:rsidRPr="002D1FA2" w:rsidRDefault="002D1FA2" w:rsidP="002D1FA2">
      <w:pPr>
        <w:numPr>
          <w:ilvl w:val="1"/>
          <w:numId w:val="4"/>
        </w:numPr>
      </w:pPr>
      <w:r w:rsidRPr="002D1FA2">
        <w:t>Valeur de la sortie de pièce et mode de calcul</w:t>
      </w:r>
    </w:p>
    <w:p w14:paraId="35100007" w14:textId="77777777" w:rsidR="002D1FA2" w:rsidRPr="002D1FA2" w:rsidRDefault="002D1FA2" w:rsidP="002D1FA2">
      <w:pPr>
        <w:numPr>
          <w:ilvl w:val="1"/>
          <w:numId w:val="4"/>
        </w:numPr>
      </w:pPr>
      <w:r w:rsidRPr="002D1FA2">
        <w:t>Position de OP</w:t>
      </w:r>
    </w:p>
    <w:p w14:paraId="41DDD287" w14:textId="77777777" w:rsidR="002D1FA2" w:rsidRPr="002D1FA2" w:rsidRDefault="002D1FA2" w:rsidP="002D1FA2">
      <w:pPr>
        <w:numPr>
          <w:ilvl w:val="1"/>
          <w:numId w:val="4"/>
        </w:numPr>
      </w:pPr>
      <w:r w:rsidRPr="002D1FA2">
        <w:t xml:space="preserve">Valeur du décalage OP-Opp </w:t>
      </w:r>
    </w:p>
    <w:p w14:paraId="75E2518B" w14:textId="77777777" w:rsidR="002D1FA2" w:rsidRPr="002D1FA2" w:rsidRDefault="002D1FA2" w:rsidP="002D1FA2">
      <w:pPr>
        <w:numPr>
          <w:ilvl w:val="1"/>
          <w:numId w:val="4"/>
        </w:numPr>
      </w:pPr>
      <w:r w:rsidRPr="002D1FA2">
        <w:t>Représentation des différents opérations nécessaires</w:t>
      </w:r>
    </w:p>
    <w:p w14:paraId="0C4645C9" w14:textId="1B9D8D7C" w:rsidR="002D1FA2" w:rsidRPr="002D1FA2" w:rsidRDefault="002D1FA2" w:rsidP="002D1FA2">
      <w:pPr>
        <w:numPr>
          <w:ilvl w:val="0"/>
          <w:numId w:val="4"/>
        </w:numPr>
      </w:pPr>
      <w:r w:rsidRPr="006379D0">
        <w:rPr>
          <w:b/>
          <w:bCs/>
        </w:rPr>
        <w:t>La trame de document</w:t>
      </w:r>
      <w:r w:rsidRPr="002D1FA2">
        <w:t xml:space="preserve"> sur laquelle seront complétées les valeurs mesurées/calculées.</w:t>
      </w:r>
    </w:p>
    <w:p w14:paraId="332C27E0" w14:textId="0EAE5D2D" w:rsidR="006379D0" w:rsidRDefault="002D1FA2" w:rsidP="006379D0">
      <w:pPr>
        <w:pStyle w:val="Titre2"/>
        <w:numPr>
          <w:ilvl w:val="0"/>
          <w:numId w:val="10"/>
        </w:numPr>
      </w:pPr>
      <w:r w:rsidRPr="006379D0">
        <w:t>Expérimentation</w:t>
      </w:r>
    </w:p>
    <w:p w14:paraId="53BAF386" w14:textId="55BC483D" w:rsidR="002D1FA2" w:rsidRPr="006379D0" w:rsidRDefault="002D1FA2" w:rsidP="006379D0">
      <w:pPr>
        <w:spacing w:before="240"/>
        <w:rPr>
          <w:b/>
          <w:bCs/>
          <w:color w:val="0F4761"/>
        </w:rPr>
      </w:pPr>
      <w:r w:rsidRPr="006379D0">
        <w:rPr>
          <w:b/>
          <w:bCs/>
        </w:rPr>
        <w:t>Faire valider le protocole d’essai par l’enseignant.</w:t>
      </w:r>
    </w:p>
    <w:p w14:paraId="461D3EF6" w14:textId="77777777" w:rsidR="002D1FA2" w:rsidRPr="002D1FA2" w:rsidRDefault="002D1FA2" w:rsidP="002D1FA2">
      <w:pPr>
        <w:numPr>
          <w:ilvl w:val="0"/>
          <w:numId w:val="5"/>
        </w:numPr>
      </w:pPr>
      <w:r w:rsidRPr="002D1FA2">
        <w:t xml:space="preserve">Allumer la machine, </w:t>
      </w:r>
    </w:p>
    <w:p w14:paraId="6B0530B1" w14:textId="77777777" w:rsidR="002D1FA2" w:rsidRPr="002D1FA2" w:rsidRDefault="002D1FA2" w:rsidP="002D1FA2">
      <w:pPr>
        <w:numPr>
          <w:ilvl w:val="0"/>
          <w:numId w:val="5"/>
        </w:numPr>
      </w:pPr>
      <w:r w:rsidRPr="002D1FA2">
        <w:t xml:space="preserve">Monter la pièce et l’outil, </w:t>
      </w:r>
    </w:p>
    <w:p w14:paraId="4129E186" w14:textId="77777777" w:rsidR="002D1FA2" w:rsidRPr="002D1FA2" w:rsidRDefault="002D1FA2" w:rsidP="002D1FA2">
      <w:pPr>
        <w:numPr>
          <w:ilvl w:val="0"/>
          <w:numId w:val="5"/>
        </w:numPr>
      </w:pPr>
      <w:r w:rsidRPr="002D1FA2">
        <w:t xml:space="preserve">Régler le décalage OP/Opp, </w:t>
      </w:r>
    </w:p>
    <w:p w14:paraId="7EBDA8D1" w14:textId="77777777" w:rsidR="002D1FA2" w:rsidRPr="002D1FA2" w:rsidRDefault="002D1FA2" w:rsidP="002D1FA2">
      <w:pPr>
        <w:numPr>
          <w:ilvl w:val="0"/>
          <w:numId w:val="5"/>
        </w:numPr>
      </w:pPr>
      <w:r w:rsidRPr="002D1FA2">
        <w:t>Vérifier visuellement la jauge de l’outil</w:t>
      </w:r>
    </w:p>
    <w:p w14:paraId="4D0263A5" w14:textId="77777777" w:rsidR="002D1FA2" w:rsidRPr="002D1FA2" w:rsidRDefault="002D1FA2" w:rsidP="002D1FA2">
      <w:pPr>
        <w:numPr>
          <w:ilvl w:val="0"/>
          <w:numId w:val="5"/>
        </w:numPr>
      </w:pPr>
      <w:r w:rsidRPr="002D1FA2">
        <w:t xml:space="preserve">Préparer, simuler et sauvegardez tous les programmes. Un M0 doit être inséré entre chaque opération pour qu’elles se fassent l’une après l’autre avec un arrêt entre les deux. </w:t>
      </w:r>
    </w:p>
    <w:p w14:paraId="6FB58562" w14:textId="4BBE527E" w:rsidR="002D1FA2" w:rsidRPr="006379D0" w:rsidRDefault="002D1FA2" w:rsidP="006379D0">
      <w:pPr>
        <w:ind w:left="720" w:hanging="720"/>
        <w:rPr>
          <w:b/>
          <w:bCs/>
        </w:rPr>
      </w:pPr>
      <w:r w:rsidRPr="006379D0">
        <w:rPr>
          <w:b/>
          <w:bCs/>
        </w:rPr>
        <w:lastRenderedPageBreak/>
        <w:t>Faire valider par l’enseignant.</w:t>
      </w:r>
    </w:p>
    <w:p w14:paraId="21CAF5A4" w14:textId="77777777" w:rsidR="002D1FA2" w:rsidRPr="002D1FA2" w:rsidRDefault="002D1FA2" w:rsidP="002D1FA2">
      <w:pPr>
        <w:numPr>
          <w:ilvl w:val="0"/>
          <w:numId w:val="6"/>
        </w:numPr>
      </w:pPr>
      <w:r w:rsidRPr="002D1FA2">
        <w:t>Lancer le 1</w:t>
      </w:r>
      <w:r w:rsidRPr="002D1FA2">
        <w:rPr>
          <w:vertAlign w:val="superscript"/>
        </w:rPr>
        <w:t>er</w:t>
      </w:r>
      <w:r w:rsidRPr="002D1FA2">
        <w:t xml:space="preserve"> usinage. Un des étudiants surveille l’usinage et un autre relève les mesures (puissance et temps).</w:t>
      </w:r>
    </w:p>
    <w:p w14:paraId="023E63EE" w14:textId="77777777" w:rsidR="002D1FA2" w:rsidRPr="002D1FA2" w:rsidRDefault="002D1FA2" w:rsidP="002D1FA2">
      <w:pPr>
        <w:numPr>
          <w:ilvl w:val="0"/>
          <w:numId w:val="6"/>
        </w:numPr>
      </w:pPr>
      <w:r w:rsidRPr="002D1FA2">
        <w:t>Lancer le ou les usinages suivants en procédant de la même manière.</w:t>
      </w:r>
    </w:p>
    <w:p w14:paraId="2E8C62A6" w14:textId="77777777" w:rsidR="002D1FA2" w:rsidRPr="002D1FA2" w:rsidRDefault="002D1FA2" w:rsidP="002D1FA2">
      <w:pPr>
        <w:numPr>
          <w:ilvl w:val="0"/>
          <w:numId w:val="6"/>
        </w:numPr>
      </w:pPr>
      <w:r w:rsidRPr="002D1FA2">
        <w:t>Calculer les temps d’usinage et comparer par rapport aux mesures.</w:t>
      </w:r>
    </w:p>
    <w:p w14:paraId="5AB15532" w14:textId="77777777" w:rsidR="002D1FA2" w:rsidRPr="002D1FA2" w:rsidRDefault="002D1FA2" w:rsidP="002D1FA2">
      <w:pPr>
        <w:numPr>
          <w:ilvl w:val="0"/>
          <w:numId w:val="6"/>
        </w:numPr>
      </w:pPr>
      <w:r w:rsidRPr="002D1FA2">
        <w:t>Calculer l’énergie consommée. Comparer avec le modèle de puissance mécanique.</w:t>
      </w:r>
    </w:p>
    <w:p w14:paraId="601E364E" w14:textId="77777777" w:rsidR="002D1FA2" w:rsidRPr="002D1FA2" w:rsidRDefault="002D1FA2" w:rsidP="002D1FA2">
      <w:pPr>
        <w:numPr>
          <w:ilvl w:val="0"/>
          <w:numId w:val="6"/>
        </w:numPr>
      </w:pPr>
      <w:r w:rsidRPr="002D1FA2">
        <w:t>Analyser la pertinence de vos résultats, analyser les résultats.</w:t>
      </w:r>
    </w:p>
    <w:p w14:paraId="287D2799" w14:textId="4D31BE21" w:rsidR="002D1FA2" w:rsidRPr="006379D0" w:rsidRDefault="002D1FA2" w:rsidP="006379D0">
      <w:pPr>
        <w:ind w:left="720" w:hanging="720"/>
        <w:rPr>
          <w:b/>
          <w:bCs/>
        </w:rPr>
      </w:pPr>
      <w:r w:rsidRPr="006379D0">
        <w:rPr>
          <w:b/>
          <w:bCs/>
        </w:rPr>
        <w:t>Préparer la présentation.</w:t>
      </w:r>
    </w:p>
    <w:p w14:paraId="6464D952" w14:textId="0B790E72" w:rsidR="002D1FA2" w:rsidRPr="006379D0" w:rsidRDefault="002D1FA2" w:rsidP="006379D0">
      <w:pPr>
        <w:pStyle w:val="Titre2"/>
        <w:numPr>
          <w:ilvl w:val="0"/>
          <w:numId w:val="10"/>
        </w:numPr>
      </w:pPr>
      <w:r w:rsidRPr="006379D0">
        <w:t>Restitution</w:t>
      </w:r>
    </w:p>
    <w:p w14:paraId="0BF20D3D" w14:textId="77777777" w:rsidR="002D1FA2" w:rsidRPr="006379D0" w:rsidRDefault="002D1FA2" w:rsidP="002D1FA2">
      <w:pPr>
        <w:rPr>
          <w:b/>
          <w:bCs/>
        </w:rPr>
      </w:pPr>
      <w:r w:rsidRPr="006379D0">
        <w:rPr>
          <w:b/>
          <w:bCs/>
        </w:rPr>
        <w:t>Présentation orale de 10min par groupe :</w:t>
      </w:r>
    </w:p>
    <w:p w14:paraId="5FF28698" w14:textId="77777777" w:rsidR="002D1FA2" w:rsidRPr="002D1FA2" w:rsidRDefault="002D1FA2" w:rsidP="002D1FA2">
      <w:pPr>
        <w:numPr>
          <w:ilvl w:val="0"/>
          <w:numId w:val="7"/>
        </w:numPr>
      </w:pPr>
      <w:r w:rsidRPr="002D1FA2">
        <w:t>Contexte de l’expérience.</w:t>
      </w:r>
    </w:p>
    <w:p w14:paraId="76226037" w14:textId="77777777" w:rsidR="002D1FA2" w:rsidRPr="002D1FA2" w:rsidRDefault="002D1FA2" w:rsidP="002D1FA2">
      <w:pPr>
        <w:numPr>
          <w:ilvl w:val="0"/>
          <w:numId w:val="7"/>
        </w:numPr>
      </w:pPr>
      <w:r w:rsidRPr="002D1FA2">
        <w:t>Introduction protocole expérimental.</w:t>
      </w:r>
    </w:p>
    <w:p w14:paraId="1FD20682" w14:textId="77777777" w:rsidR="002D1FA2" w:rsidRPr="002D1FA2" w:rsidRDefault="002D1FA2" w:rsidP="002D1FA2">
      <w:pPr>
        <w:numPr>
          <w:ilvl w:val="0"/>
          <w:numId w:val="7"/>
        </w:numPr>
      </w:pPr>
      <w:r w:rsidRPr="002D1FA2">
        <w:t>Analyse des résultats.</w:t>
      </w:r>
    </w:p>
    <w:p w14:paraId="57506BB0" w14:textId="77777777" w:rsidR="002D1FA2" w:rsidRPr="002D1FA2" w:rsidRDefault="002D1FA2" w:rsidP="002D1FA2">
      <w:pPr>
        <w:numPr>
          <w:ilvl w:val="0"/>
          <w:numId w:val="7"/>
        </w:numPr>
      </w:pPr>
      <w:r w:rsidRPr="002D1FA2">
        <w:t>Comparaison avec les résultats théoriques.</w:t>
      </w:r>
    </w:p>
    <w:p w14:paraId="43401D33" w14:textId="77777777" w:rsidR="002D1FA2" w:rsidRPr="006379D0" w:rsidRDefault="002D1FA2" w:rsidP="002D1FA2">
      <w:pPr>
        <w:rPr>
          <w:b/>
          <w:bCs/>
        </w:rPr>
      </w:pPr>
      <w:r w:rsidRPr="006379D0">
        <w:rPr>
          <w:b/>
          <w:bCs/>
        </w:rPr>
        <w:t>Discussion sur les résultats des 3 groupes.</w:t>
      </w:r>
    </w:p>
    <w:p w14:paraId="0DACF457" w14:textId="77777777" w:rsidR="002D1FA2" w:rsidRPr="002D1FA2" w:rsidRDefault="002D1FA2" w:rsidP="002D1FA2">
      <w:pPr>
        <w:rPr>
          <w:highlight w:val="cyan"/>
        </w:rPr>
      </w:pPr>
    </w:p>
    <w:p w14:paraId="3F2653AB" w14:textId="77777777" w:rsidR="002D1FA2" w:rsidRPr="002D1FA2" w:rsidRDefault="002D1FA2" w:rsidP="002D1FA2">
      <w:pPr>
        <w:rPr>
          <w:highlight w:val="cyan"/>
        </w:rPr>
      </w:pPr>
    </w:p>
    <w:p w14:paraId="3C64AB73" w14:textId="77777777" w:rsidR="002D1FA2" w:rsidRPr="002D1FA2" w:rsidRDefault="002D1FA2" w:rsidP="002D1FA2">
      <w:pPr>
        <w:rPr>
          <w:highlight w:val="cyan"/>
        </w:rPr>
      </w:pPr>
    </w:p>
    <w:p w14:paraId="3149A57B" w14:textId="77777777" w:rsidR="00B803D8" w:rsidRDefault="00B803D8">
      <w:pPr>
        <w:rPr>
          <w:highlight w:val="cyan"/>
        </w:rPr>
      </w:pPr>
    </w:p>
    <w:p w14:paraId="715E3254" w14:textId="77777777" w:rsidR="00B803D8" w:rsidRDefault="00B803D8">
      <w:pPr>
        <w:rPr>
          <w:highlight w:val="cyan"/>
        </w:rPr>
      </w:pPr>
    </w:p>
    <w:p w14:paraId="45BDA7C4" w14:textId="77777777" w:rsidR="00B803D8" w:rsidRDefault="00B803D8">
      <w:pPr>
        <w:pageBreakBefore/>
        <w:jc w:val="left"/>
      </w:pPr>
    </w:p>
    <w:p w14:paraId="17D9EFBC" w14:textId="6774218C" w:rsidR="00B803D8" w:rsidRDefault="00000000">
      <w:pPr>
        <w:spacing w:before="3000"/>
        <w:jc w:val="left"/>
      </w:pPr>
      <w:r>
        <w:t xml:space="preserve">Ce TD a été mutualisé dans le cadre d'un partenariat entre </w:t>
      </w:r>
      <w:r w:rsidR="00076545" w:rsidRPr="00076545">
        <w:t>l'Université de Bordeaux</w:t>
      </w:r>
      <w:r w:rsidR="00076545">
        <w:t xml:space="preserve"> </w:t>
      </w:r>
      <w:r>
        <w:t xml:space="preserve">et la Fondation UVED pour la déclinaison disciplinaire de l'enseignement des enjeux de transition écologique et sociétale (TEDS). </w:t>
      </w:r>
    </w:p>
    <w:p w14:paraId="1ECEB77F" w14:textId="77777777" w:rsidR="00B803D8" w:rsidRDefault="00B803D8">
      <w:pPr>
        <w:jc w:val="left"/>
      </w:pPr>
    </w:p>
    <w:p w14:paraId="7B623F73" w14:textId="77777777" w:rsidR="00B803D8" w:rsidRDefault="00000000">
      <w:pPr>
        <w:jc w:val="left"/>
      </w:pPr>
      <w:r>
        <w:t xml:space="preserve">Il est mis à disposition selon les termes de la </w:t>
      </w:r>
      <w:hyperlink r:id="rId9">
        <w:r w:rsidR="00B803D8">
          <w:rPr>
            <w:color w:val="467886"/>
            <w:u w:val="single"/>
          </w:rPr>
          <w:t>Licence Creative Commons - 4.0 International : Attribution - Pas d’Utilisation Commerciale - Partage dans les Mêmes Conditions</w:t>
        </w:r>
      </w:hyperlink>
    </w:p>
    <w:p w14:paraId="03292773" w14:textId="77777777" w:rsidR="00B803D8" w:rsidRDefault="00000000">
      <w:pPr>
        <w:spacing w:before="240" w:after="480"/>
        <w:jc w:val="center"/>
      </w:pPr>
      <w:r>
        <w:rPr>
          <w:noProof/>
        </w:rPr>
        <w:drawing>
          <wp:inline distT="0" distB="0" distL="0" distR="0" wp14:anchorId="122CC7AB" wp14:editId="5AF49395">
            <wp:extent cx="838200" cy="297180"/>
            <wp:effectExtent l="0" t="0" r="0" b="0"/>
            <wp:docPr id="2145232698" name="image4.png" descr="Licence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icence Creative Common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DB263D" w14:textId="77777777" w:rsidR="00B803D8" w:rsidRDefault="00000000">
      <w:pPr>
        <w:jc w:val="center"/>
      </w:pPr>
      <w:r>
        <w:rPr>
          <w:i/>
        </w:rPr>
        <w:t xml:space="preserve">Pour la formation continue ou professionnelle, les modalités d’usage sont à déterminer avec UVED et doivent faire l’objet d’un contrat définissant les conditions d’usage et de commercialisation. Contact : </w:t>
      </w:r>
      <w:hyperlink r:id="rId11">
        <w:r w:rsidR="00B803D8">
          <w:rPr>
            <w:i/>
            <w:color w:val="467886"/>
            <w:u w:val="single"/>
          </w:rPr>
          <w:t>contact@fondation-uved.fr</w:t>
        </w:r>
      </w:hyperlink>
    </w:p>
    <w:p w14:paraId="5E56EC98" w14:textId="6A462C99" w:rsidR="00B803D8" w:rsidRDefault="00000000">
      <w:pPr>
        <w:spacing w:before="360"/>
        <w:jc w:val="center"/>
      </w:pPr>
      <w:r>
        <w:t xml:space="preserve">Première édition :  </w:t>
      </w:r>
      <w:r w:rsidR="00D95F66">
        <w:t xml:space="preserve">mai </w:t>
      </w:r>
      <w:r>
        <w:t>2025</w:t>
      </w:r>
    </w:p>
    <w:p w14:paraId="47BF6C6B" w14:textId="77777777" w:rsidR="00B803D8" w:rsidRDefault="00B803D8">
      <w:pPr>
        <w:jc w:val="left"/>
      </w:pPr>
    </w:p>
    <w:p w14:paraId="15AF1F9D" w14:textId="77777777" w:rsidR="00B803D8" w:rsidRDefault="00B803D8">
      <w:pPr>
        <w:rPr>
          <w:highlight w:val="cyan"/>
        </w:rPr>
      </w:pPr>
    </w:p>
    <w:sectPr w:rsidR="00B803D8">
      <w:footerReference w:type="default" r:id="rId12"/>
      <w:footerReference w:type="first" r:id="rId13"/>
      <w:pgSz w:w="11906" w:h="16838"/>
      <w:pgMar w:top="1417" w:right="1417" w:bottom="1417" w:left="1417" w:header="70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0E97" w14:textId="77777777" w:rsidR="00785B66" w:rsidRDefault="00785B66">
      <w:pPr>
        <w:spacing w:after="0"/>
      </w:pPr>
      <w:r>
        <w:separator/>
      </w:r>
    </w:p>
  </w:endnote>
  <w:endnote w:type="continuationSeparator" w:id="0">
    <w:p w14:paraId="7FB937FA" w14:textId="77777777" w:rsidR="00785B66" w:rsidRDefault="00785B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A7E8" w14:textId="1F4FF564" w:rsidR="00B803D8" w:rsidRPr="001233E9" w:rsidRDefault="00000000" w:rsidP="001233E9">
    <w:pPr>
      <w:pBdr>
        <w:top w:val="single" w:sz="4" w:space="12" w:color="037F9A"/>
        <w:left w:val="nil"/>
        <w:bottom w:val="nil"/>
        <w:right w:val="nil"/>
        <w:between w:val="nil"/>
      </w:pBdr>
      <w:tabs>
        <w:tab w:val="center" w:pos="4536"/>
        <w:tab w:val="right" w:pos="9639"/>
      </w:tabs>
      <w:spacing w:before="240" w:after="0"/>
      <w:ind w:left="-567" w:right="-567"/>
      <w:jc w:val="left"/>
      <w:rPr>
        <w:rFonts w:ascii="Aptos SemiBold" w:eastAsia="Aptos SemiBold" w:hAnsi="Aptos SemiBold" w:cs="Aptos SemiBold"/>
        <w:color w:val="037F9A"/>
        <w:sz w:val="28"/>
        <w:szCs w:val="28"/>
      </w:rPr>
    </w:pPr>
    <w:r w:rsidRPr="001233E9">
      <w:rPr>
        <w:rFonts w:ascii="Aptos SemiBold" w:eastAsia="Aptos SemiBold" w:hAnsi="Aptos SemiBold" w:cs="Aptos SemiBold"/>
        <w:color w:val="037F9A"/>
      </w:rPr>
      <w:t>T</w:t>
    </w:r>
    <w:r w:rsidR="001233E9" w:rsidRPr="001233E9">
      <w:rPr>
        <w:rFonts w:ascii="Aptos SemiBold" w:eastAsia="Aptos SemiBold" w:hAnsi="Aptos SemiBold" w:cs="Aptos SemiBold"/>
        <w:color w:val="037F9A"/>
      </w:rPr>
      <w:t xml:space="preserve">D Influence des paramètres d’usinage sur la consommation énergétique </w:t>
    </w:r>
    <w:r w:rsidRPr="001233E9">
      <w:rPr>
        <w:rFonts w:ascii="Aptos SemiBold" w:eastAsia="Aptos SemiBold" w:hAnsi="Aptos SemiBold" w:cs="Aptos SemiBold"/>
        <w:color w:val="037F9A"/>
      </w:rPr>
      <w:t>|</w:t>
    </w:r>
    <w:r w:rsidRPr="001233E9">
      <w:rPr>
        <w:rFonts w:ascii="Aptos" w:eastAsia="Aptos" w:hAnsi="Aptos" w:cs="Aptos"/>
        <w:color w:val="037F9A"/>
      </w:rPr>
      <w:t xml:space="preserve"> </w:t>
    </w:r>
    <w:r w:rsidR="001233E9">
      <w:rPr>
        <w:rFonts w:ascii="Aptos" w:eastAsia="Aptos" w:hAnsi="Aptos" w:cs="Aptos"/>
        <w:color w:val="037F9A"/>
      </w:rPr>
      <w:br/>
    </w:r>
    <w:r w:rsidRPr="001233E9">
      <w:rPr>
        <w:rFonts w:ascii="Aptos Light" w:eastAsia="Aptos Light" w:hAnsi="Aptos Light" w:cs="Aptos Light"/>
        <w:color w:val="037F9A"/>
      </w:rPr>
      <w:t xml:space="preserve">Licence CC BY-NC-SA 4.0             </w:t>
    </w:r>
    <w:r w:rsidRPr="001233E9">
      <w:rPr>
        <w:rFonts w:ascii="Aptos Light" w:eastAsia="Aptos Light" w:hAnsi="Aptos Light" w:cs="Aptos Light"/>
        <w:color w:val="037F9A"/>
      </w:rPr>
      <w:tab/>
    </w:r>
    <w:r w:rsidRPr="001233E9">
      <w:rPr>
        <w:rFonts w:ascii="Aptos SemiBold" w:eastAsia="Aptos SemiBold" w:hAnsi="Aptos SemiBold" w:cs="Aptos SemiBold"/>
        <w:color w:val="037F9A"/>
      </w:rPr>
      <w:tab/>
    </w:r>
    <w:r>
      <w:rPr>
        <w:rFonts w:ascii="Aptos SemiBold" w:eastAsia="Aptos SemiBold" w:hAnsi="Aptos SemiBold" w:cs="Aptos SemiBold"/>
        <w:color w:val="037F9A"/>
        <w:sz w:val="28"/>
        <w:szCs w:val="28"/>
      </w:rPr>
      <w:fldChar w:fldCharType="begin"/>
    </w:r>
    <w:r w:rsidRPr="001233E9">
      <w:rPr>
        <w:rFonts w:ascii="Aptos SemiBold" w:eastAsia="Aptos SemiBold" w:hAnsi="Aptos SemiBold" w:cs="Aptos SemiBold"/>
        <w:color w:val="037F9A"/>
        <w:sz w:val="28"/>
        <w:szCs w:val="28"/>
      </w:rPr>
      <w:instrText>PAGE</w:instrText>
    </w:r>
    <w:r>
      <w:rPr>
        <w:rFonts w:ascii="Aptos SemiBold" w:eastAsia="Aptos SemiBold" w:hAnsi="Aptos SemiBold" w:cs="Aptos SemiBold"/>
        <w:color w:val="037F9A"/>
        <w:sz w:val="28"/>
        <w:szCs w:val="28"/>
      </w:rPr>
      <w:fldChar w:fldCharType="separate"/>
    </w:r>
    <w:r w:rsidR="002D1FA2" w:rsidRPr="001233E9">
      <w:rPr>
        <w:rFonts w:ascii="Aptos SemiBold" w:eastAsia="Aptos SemiBold" w:hAnsi="Aptos SemiBold" w:cs="Aptos SemiBold"/>
        <w:noProof/>
        <w:color w:val="037F9A"/>
        <w:sz w:val="28"/>
        <w:szCs w:val="28"/>
      </w:rPr>
      <w:t>2</w:t>
    </w:r>
    <w:r>
      <w:rPr>
        <w:rFonts w:ascii="Aptos SemiBold" w:eastAsia="Aptos SemiBold" w:hAnsi="Aptos SemiBold" w:cs="Aptos SemiBold"/>
        <w:color w:val="037F9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D8B2" w14:textId="25EA6699" w:rsidR="00CF6503" w:rsidRDefault="00000000" w:rsidP="00CF6503">
    <w:pPr>
      <w:tabs>
        <w:tab w:val="center" w:pos="2268"/>
        <w:tab w:val="center" w:pos="6663"/>
      </w:tabs>
    </w:pPr>
    <w:r>
      <w:tab/>
      <w:t>Auteur :</w:t>
    </w:r>
    <w:r>
      <w:tab/>
      <w:t>Réalisation :</w:t>
    </w:r>
    <w:r w:rsidR="00CF6503">
      <w:rPr>
        <w:noProof/>
      </w:rPr>
      <w:drawing>
        <wp:anchor distT="0" distB="0" distL="114300" distR="114300" simplePos="0" relativeHeight="251659264" behindDoc="1" locked="0" layoutInCell="1" allowOverlap="1" wp14:anchorId="3FD82D5E" wp14:editId="63514CCF">
          <wp:simplePos x="0" y="0"/>
          <wp:positionH relativeFrom="column">
            <wp:posOffset>33655</wp:posOffset>
          </wp:positionH>
          <wp:positionV relativeFrom="paragraph">
            <wp:posOffset>266700</wp:posOffset>
          </wp:positionV>
          <wp:extent cx="2639241" cy="923735"/>
          <wp:effectExtent l="0" t="0" r="0" b="0"/>
          <wp:wrapTight wrapText="bothSides">
            <wp:wrapPolygon edited="0">
              <wp:start x="16683" y="0"/>
              <wp:lineTo x="5457" y="1783"/>
              <wp:lineTo x="0" y="4011"/>
              <wp:lineTo x="156" y="10250"/>
              <wp:lineTo x="3118" y="15153"/>
              <wp:lineTo x="4366" y="15153"/>
              <wp:lineTo x="4366" y="17381"/>
              <wp:lineTo x="6705" y="19609"/>
              <wp:lineTo x="8731" y="20501"/>
              <wp:lineTo x="18866" y="20501"/>
              <wp:lineTo x="21049" y="19609"/>
              <wp:lineTo x="21361" y="19164"/>
              <wp:lineTo x="21361" y="13370"/>
              <wp:lineTo x="20581" y="11587"/>
              <wp:lineTo x="17931" y="8022"/>
              <wp:lineTo x="17619" y="0"/>
              <wp:lineTo x="16683" y="0"/>
            </wp:wrapPolygon>
          </wp:wrapTight>
          <wp:docPr id="48272526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241" cy="92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9F57FE" w14:textId="404F4AFB" w:rsidR="00B803D8" w:rsidRDefault="00CF6503">
    <w:pPr>
      <w:tabs>
        <w:tab w:val="center" w:pos="2268"/>
        <w:tab w:val="center" w:pos="6663"/>
      </w:tabs>
      <w:spacing w:after="720"/>
    </w:pPr>
    <w:r>
      <w:tab/>
    </w:r>
    <w:r>
      <w:rPr>
        <w:noProof/>
      </w:rPr>
      <w:drawing>
        <wp:inline distT="0" distB="0" distL="0" distR="0" wp14:anchorId="40FC7CFD" wp14:editId="3153BCF2">
          <wp:extent cx="1916180" cy="1107038"/>
          <wp:effectExtent l="0" t="0" r="0" b="0"/>
          <wp:docPr id="2145232699" name="image3.png" descr="Une image contenant capture d’écran, Caractère coloré, Graphique, conceptio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e image contenant capture d’écran, Caractère coloré, Graphique, conception&#10;&#10;Description générée automatiquement"/>
                  <pic:cNvPicPr preferRelativeResize="0"/>
                </pic:nvPicPr>
                <pic:blipFill>
                  <a:blip r:embed="rId2"/>
                  <a:srcRect r="1625"/>
                  <a:stretch>
                    <a:fillRect/>
                  </a:stretch>
                </pic:blipFill>
                <pic:spPr>
                  <a:xfrm>
                    <a:off x="0" y="0"/>
                    <a:ext cx="1916180" cy="1107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A62D2">
      <w:t xml:space="preserve"> </w:t>
    </w:r>
    <w:r w:rsidR="00AA62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7B6B" w14:textId="77777777" w:rsidR="00785B66" w:rsidRDefault="00785B66">
      <w:pPr>
        <w:spacing w:after="0"/>
      </w:pPr>
      <w:r>
        <w:separator/>
      </w:r>
    </w:p>
  </w:footnote>
  <w:footnote w:type="continuationSeparator" w:id="0">
    <w:p w14:paraId="1068BB5E" w14:textId="77777777" w:rsidR="00785B66" w:rsidRDefault="00785B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480"/>
    <w:multiLevelType w:val="hybridMultilevel"/>
    <w:tmpl w:val="B7BC45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377E"/>
    <w:multiLevelType w:val="hybridMultilevel"/>
    <w:tmpl w:val="257C7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0408"/>
    <w:multiLevelType w:val="multilevel"/>
    <w:tmpl w:val="B734EDF0"/>
    <w:lvl w:ilvl="0">
      <w:start w:val="1"/>
      <w:numFmt w:val="decimal"/>
      <w:pStyle w:val="Paragraphedeli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071510"/>
    <w:multiLevelType w:val="hybridMultilevel"/>
    <w:tmpl w:val="758CD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AE9"/>
    <w:multiLevelType w:val="hybridMultilevel"/>
    <w:tmpl w:val="12605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96A78"/>
    <w:multiLevelType w:val="hybridMultilevel"/>
    <w:tmpl w:val="A31AA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43A5E"/>
    <w:multiLevelType w:val="hybridMultilevel"/>
    <w:tmpl w:val="B59A7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8161FA"/>
    <w:multiLevelType w:val="hybridMultilevel"/>
    <w:tmpl w:val="DDBE4E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152F53"/>
    <w:multiLevelType w:val="multilevel"/>
    <w:tmpl w:val="D100983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3FA4B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45195"/>
    <w:multiLevelType w:val="hybridMultilevel"/>
    <w:tmpl w:val="B32C44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495884">
    <w:abstractNumId w:val="8"/>
  </w:num>
  <w:num w:numId="2" w16cid:durableId="1403871305">
    <w:abstractNumId w:val="2"/>
  </w:num>
  <w:num w:numId="3" w16cid:durableId="1194415894">
    <w:abstractNumId w:val="1"/>
  </w:num>
  <w:num w:numId="4" w16cid:durableId="67506096">
    <w:abstractNumId w:val="5"/>
  </w:num>
  <w:num w:numId="5" w16cid:durableId="750464927">
    <w:abstractNumId w:val="6"/>
  </w:num>
  <w:num w:numId="6" w16cid:durableId="1159073592">
    <w:abstractNumId w:val="7"/>
  </w:num>
  <w:num w:numId="7" w16cid:durableId="579097921">
    <w:abstractNumId w:val="4"/>
  </w:num>
  <w:num w:numId="8" w16cid:durableId="760443765">
    <w:abstractNumId w:val="0"/>
  </w:num>
  <w:num w:numId="9" w16cid:durableId="775292902">
    <w:abstractNumId w:val="3"/>
  </w:num>
  <w:num w:numId="10" w16cid:durableId="1453094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D8"/>
    <w:rsid w:val="00071726"/>
    <w:rsid w:val="00072982"/>
    <w:rsid w:val="00076545"/>
    <w:rsid w:val="000D221D"/>
    <w:rsid w:val="001233E9"/>
    <w:rsid w:val="001A5C0D"/>
    <w:rsid w:val="002D1FA2"/>
    <w:rsid w:val="00511C07"/>
    <w:rsid w:val="005F335B"/>
    <w:rsid w:val="006379D0"/>
    <w:rsid w:val="00651A1A"/>
    <w:rsid w:val="00657013"/>
    <w:rsid w:val="00785B66"/>
    <w:rsid w:val="00AA62D2"/>
    <w:rsid w:val="00B803D8"/>
    <w:rsid w:val="00CF6503"/>
    <w:rsid w:val="00D020E1"/>
    <w:rsid w:val="00D06CF7"/>
    <w:rsid w:val="00D95F66"/>
    <w:rsid w:val="00E3170F"/>
    <w:rsid w:val="00E86782"/>
    <w:rsid w:val="00ED114F"/>
    <w:rsid w:val="00EE108E"/>
    <w:rsid w:val="00F212F4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881C1"/>
  <w15:docId w15:val="{0431FBB4-8E48-48E3-BBD0-CB8DE8FE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08"/>
    <w:rPr>
      <w:rFonts w:ascii="Calibri Light" w:hAnsi="Calibri Light" w:cs="Calibri Light"/>
    </w:rPr>
  </w:style>
  <w:style w:type="paragraph" w:styleId="Titre1">
    <w:name w:val="heading 1"/>
    <w:basedOn w:val="Normal"/>
    <w:next w:val="Normal"/>
    <w:link w:val="Titre1Car"/>
    <w:uiPriority w:val="9"/>
    <w:qFormat/>
    <w:rsid w:val="00C72745"/>
    <w:pPr>
      <w:keepNext/>
      <w:keepLines/>
      <w:spacing w:before="360" w:after="240"/>
      <w:outlineLvl w:val="0"/>
    </w:pPr>
    <w:rPr>
      <w:rFonts w:ascii="Aptos ExtraBold" w:eastAsiaTheme="majorEastAsia" w:hAnsi="Aptos ExtraBold" w:cs="Calibri"/>
      <w:color w:val="029CBC"/>
      <w:spacing w:val="-4"/>
      <w:w w:val="75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5008"/>
    <w:pPr>
      <w:spacing w:before="360"/>
      <w:outlineLvl w:val="1"/>
    </w:pPr>
    <w:rPr>
      <w:rFonts w:asciiTheme="minorHAnsi" w:hAnsiTheme="minorHAnsi"/>
      <w:color w:val="037F9A"/>
      <w:w w:val="8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next w:val="Normal"/>
    <w:link w:val="TitreCar"/>
    <w:uiPriority w:val="10"/>
    <w:qFormat/>
    <w:rsid w:val="00887347"/>
    <w:pPr>
      <w:spacing w:after="1200" w:line="204" w:lineRule="auto"/>
      <w:contextualSpacing/>
      <w:jc w:val="center"/>
    </w:pPr>
    <w:rPr>
      <w:rFonts w:ascii="Aptos ExtraBold" w:eastAsiaTheme="majorEastAsia" w:hAnsi="Aptos ExtraBold"/>
      <w:noProof/>
      <w:color w:val="037F9A"/>
      <w:spacing w:val="-4"/>
      <w:w w:val="80"/>
      <w:kern w:val="28"/>
      <w:sz w:val="96"/>
      <w:szCs w:val="96"/>
    </w:rPr>
  </w:style>
  <w:style w:type="character" w:customStyle="1" w:styleId="Titre1Car">
    <w:name w:val="Titre 1 Car"/>
    <w:basedOn w:val="Policepardfaut"/>
    <w:link w:val="Titre1"/>
    <w:uiPriority w:val="9"/>
    <w:rsid w:val="00C72745"/>
    <w:rPr>
      <w:rFonts w:ascii="Aptos ExtraBold" w:eastAsiaTheme="majorEastAsia" w:hAnsi="Aptos ExtraBold" w:cs="Calibri"/>
      <w:color w:val="029CBC"/>
      <w:spacing w:val="-4"/>
      <w:w w:val="75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0D5008"/>
    <w:rPr>
      <w:rFonts w:asciiTheme="minorHAnsi" w:hAnsiTheme="minorHAnsi" w:cs="Calibri Light"/>
      <w:color w:val="037F9A"/>
      <w:w w:val="8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92D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2D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2D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2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2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2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2DD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887347"/>
    <w:rPr>
      <w:rFonts w:ascii="Aptos ExtraBold" w:eastAsiaTheme="majorEastAsia" w:hAnsi="Aptos ExtraBold" w:cs="Calibri"/>
      <w:noProof/>
      <w:color w:val="037F9A"/>
      <w:spacing w:val="-4"/>
      <w:w w:val="80"/>
      <w:kern w:val="28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2D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2D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008"/>
    <w:pPr>
      <w:numPr>
        <w:numId w:val="2"/>
      </w:numPr>
    </w:pPr>
  </w:style>
  <w:style w:type="table" w:styleId="Grilledutableau">
    <w:name w:val="Table Grid"/>
    <w:basedOn w:val="TableauNormal"/>
    <w:uiPriority w:val="39"/>
    <w:rsid w:val="00F9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D5008"/>
    <w:pPr>
      <w:pBdr>
        <w:top w:val="single" w:sz="4" w:space="12" w:color="037F9A"/>
      </w:pBdr>
      <w:tabs>
        <w:tab w:val="center" w:pos="4536"/>
        <w:tab w:val="right" w:pos="9639"/>
      </w:tabs>
      <w:spacing w:before="240" w:after="0"/>
      <w:ind w:left="-567" w:right="-567"/>
    </w:pPr>
    <w:rPr>
      <w:rFonts w:ascii="Aptos SemiBold" w:hAnsi="Aptos SemiBold"/>
      <w:color w:val="037F9A"/>
    </w:rPr>
  </w:style>
  <w:style w:type="character" w:customStyle="1" w:styleId="PieddepageCar">
    <w:name w:val="Pied de page Car"/>
    <w:basedOn w:val="Policepardfaut"/>
    <w:link w:val="Pieddepage"/>
    <w:uiPriority w:val="99"/>
    <w:rsid w:val="000D5008"/>
    <w:rPr>
      <w:rFonts w:ascii="Aptos SemiBold" w:hAnsi="Aptos SemiBold"/>
      <w:color w:val="037F9A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52B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2B25"/>
    <w:rPr>
      <w:color w:val="605E5C"/>
      <w:shd w:val="clear" w:color="auto" w:fill="E1DFDD"/>
    </w:rPr>
  </w:style>
  <w:style w:type="paragraph" w:customStyle="1" w:styleId="Sur-titre">
    <w:name w:val="Sur-titre"/>
    <w:next w:val="Titre"/>
    <w:qFormat/>
    <w:rsid w:val="00887347"/>
    <w:pPr>
      <w:spacing w:before="3000" w:after="240"/>
      <w:jc w:val="center"/>
    </w:pPr>
    <w:rPr>
      <w:rFonts w:ascii="Aptos Light" w:eastAsiaTheme="majorEastAsia" w:hAnsi="Aptos Light"/>
      <w:noProof/>
      <w:color w:val="404040" w:themeColor="text1" w:themeTint="BF"/>
      <w:spacing w:val="-4"/>
      <w:w w:val="80"/>
      <w:kern w:val="28"/>
      <w:sz w:val="56"/>
      <w:szCs w:val="56"/>
    </w:rPr>
  </w:style>
  <w:style w:type="paragraph" w:customStyle="1" w:styleId="Titreencart">
    <w:name w:val="Titre encart"/>
    <w:basedOn w:val="Normal"/>
    <w:qFormat/>
    <w:rsid w:val="00C72745"/>
    <w:pPr>
      <w:spacing w:before="360"/>
    </w:pPr>
    <w:rPr>
      <w:rFonts w:ascii="Aptos ExtraBold" w:hAnsi="Aptos ExtraBold" w:cs="Calibri"/>
      <w:b/>
      <w:bCs/>
      <w:color w:val="037F9A"/>
      <w:spacing w:val="-8"/>
      <w:w w:val="85"/>
      <w:sz w:val="36"/>
      <w:szCs w:val="36"/>
    </w:rPr>
  </w:style>
  <w:style w:type="paragraph" w:styleId="Lgende">
    <w:name w:val="caption"/>
    <w:basedOn w:val="Normal"/>
    <w:next w:val="Normal"/>
    <w:uiPriority w:val="35"/>
    <w:unhideWhenUsed/>
    <w:qFormat/>
    <w:rsid w:val="000D5008"/>
    <w:pPr>
      <w:spacing w:after="360"/>
      <w:jc w:val="center"/>
    </w:pPr>
    <w:rPr>
      <w:i/>
      <w:iCs/>
    </w:rPr>
  </w:style>
  <w:style w:type="paragraph" w:customStyle="1" w:styleId="Formules">
    <w:name w:val="Formules"/>
    <w:basedOn w:val="Normal"/>
    <w:qFormat/>
    <w:rsid w:val="00FE5385"/>
    <w:pPr>
      <w:spacing w:before="240" w:after="240"/>
      <w:jc w:val="center"/>
    </w:pPr>
    <w:rPr>
      <w:sz w:val="28"/>
      <w:szCs w:val="28"/>
    </w:rPr>
  </w:style>
  <w:style w:type="paragraph" w:customStyle="1" w:styleId="Illustrations">
    <w:name w:val="Illustrations"/>
    <w:basedOn w:val="Normal"/>
    <w:qFormat/>
    <w:rsid w:val="000D5008"/>
    <w:pPr>
      <w:spacing w:before="360"/>
      <w:jc w:val="center"/>
    </w:pPr>
    <w:rPr>
      <w:noProof/>
    </w:rPr>
  </w:style>
  <w:style w:type="paragraph" w:styleId="En-tte">
    <w:name w:val="header"/>
    <w:basedOn w:val="Normal"/>
    <w:link w:val="En-tteCar"/>
    <w:uiPriority w:val="99"/>
    <w:unhideWhenUsed/>
    <w:rsid w:val="00356B1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B13"/>
    <w:rPr>
      <w:rFonts w:ascii="Calibri Light" w:hAnsi="Calibri Light" w:cs="Calibri Light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284" w:type="dxa"/>
        <w:left w:w="284" w:type="dxa"/>
        <w:bottom w:w="198" w:type="dxa"/>
        <w:right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tact@fondation-uved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nc-sa/4.0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eBo1xnyVqujU5RvCSSx9Bwu5Q==">CgMxLjA4AHIhMUJDczhtR2lxOHRaTGNUYTdXN2ppWWVuY0ZzSHZVUi16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CALVET</dc:creator>
  <cp:lastModifiedBy>Tatiana Khomenko</cp:lastModifiedBy>
  <cp:revision>10</cp:revision>
  <cp:lastPrinted>2026-05-12T11:58:00Z</cp:lastPrinted>
  <dcterms:created xsi:type="dcterms:W3CDTF">2025-01-30T10:00:00Z</dcterms:created>
  <dcterms:modified xsi:type="dcterms:W3CDTF">2026-05-27T14:31:00Z</dcterms:modified>
</cp:coreProperties>
</file>