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EABD" w14:textId="77777777" w:rsidR="00D73960" w:rsidRDefault="00000000">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67BB8EE6" wp14:editId="2165F87B">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Pr>
          <w:rFonts w:ascii="Aptos Light" w:eastAsia="Aptos Light" w:hAnsi="Aptos Light" w:cs="Aptos Light"/>
          <w:color w:val="404040"/>
          <w:sz w:val="56"/>
          <w:szCs w:val="56"/>
        </w:rPr>
        <w:t>Travaux dirigés</w:t>
      </w:r>
    </w:p>
    <w:p w14:paraId="3AE4FAD9" w14:textId="50778B60" w:rsidR="00775C38" w:rsidRPr="00CA7D96" w:rsidRDefault="009B17D7" w:rsidP="00906366">
      <w:pPr>
        <w:pStyle w:val="Titre"/>
        <w:rPr>
          <w:sz w:val="72"/>
          <w:szCs w:val="72"/>
        </w:rPr>
      </w:pPr>
      <w:r w:rsidRPr="009B17D7">
        <w:rPr>
          <w:sz w:val="72"/>
          <w:szCs w:val="72"/>
        </w:rPr>
        <w:t xml:space="preserve">Analyse du Cycle de </w:t>
      </w:r>
      <w:r>
        <w:rPr>
          <w:sz w:val="72"/>
          <w:szCs w:val="72"/>
        </w:rPr>
        <w:t>V</w:t>
      </w:r>
      <w:r w:rsidRPr="009B17D7">
        <w:rPr>
          <w:sz w:val="72"/>
          <w:szCs w:val="72"/>
        </w:rPr>
        <w:t>ie</w:t>
      </w:r>
      <w:r w:rsidR="00EA211F">
        <w:rPr>
          <w:sz w:val="72"/>
          <w:szCs w:val="72"/>
        </w:rPr>
        <w:t> : l</w:t>
      </w:r>
      <w:r w:rsidR="00EA211F" w:rsidRPr="00EA211F">
        <w:rPr>
          <w:sz w:val="72"/>
          <w:szCs w:val="72"/>
        </w:rPr>
        <w:t>e marqueur pour tableau blanc</w:t>
      </w:r>
    </w:p>
    <w:p w14:paraId="745F86AD" w14:textId="53B36831" w:rsidR="00644409" w:rsidRPr="00EA211F" w:rsidRDefault="00644409" w:rsidP="00EA211F">
      <w:pPr>
        <w:rPr>
          <w:color w:val="000000"/>
          <w:sz w:val="32"/>
          <w:szCs w:val="32"/>
        </w:rPr>
      </w:pPr>
      <w:r>
        <w:br w:type="page"/>
      </w:r>
    </w:p>
    <w:p w14:paraId="2527D5AD" w14:textId="64999642" w:rsidR="00C50CFD" w:rsidRPr="00F00632" w:rsidRDefault="00C50CFD" w:rsidP="00C50CFD">
      <w:pPr>
        <w:pStyle w:val="Titre2"/>
        <w:rPr>
          <w:rFonts w:eastAsiaTheme="majorEastAsia" w:cstheme="majorBidi"/>
          <w:color w:val="0F4761" w:themeColor="accent1" w:themeShade="BF"/>
        </w:rPr>
      </w:pPr>
      <w:r>
        <w:lastRenderedPageBreak/>
        <w:t>Contexte</w:t>
      </w:r>
    </w:p>
    <w:p w14:paraId="3F0E49FC" w14:textId="3AA7A0CD" w:rsidR="00EA211F" w:rsidRDefault="00EA211F" w:rsidP="00EA211F">
      <w:r>
        <w:t>Une usine urbaine située à Grenoble fabrique des marqueurs de tableau blanc utilisés dans les écoles et entreprises locales.</w:t>
      </w:r>
    </w:p>
    <w:p w14:paraId="03707295" w14:textId="4D185CA9" w:rsidR="00EA211F" w:rsidRDefault="00EA211F" w:rsidP="00EA211F">
      <w:r>
        <w:t>Dans un contexte de transition écologique, elle collabore avec un cabinet de conseil pour améliorer la performance environnementale de ses produits. Deux pistes d’écoconception ont été proposées : l’utilisation de matériaux recyclés (scénario 2), et la conception facilitant le recyclage (scénario 3).</w:t>
      </w:r>
    </w:p>
    <w:p w14:paraId="6FB434F8" w14:textId="3DED2104" w:rsidR="00EA211F" w:rsidRDefault="00EA211F" w:rsidP="00EA211F">
      <w:r w:rsidRPr="004311CC">
        <w:t>L’</w:t>
      </w:r>
      <w:r>
        <w:t>usine urbaine</w:t>
      </w:r>
      <w:r w:rsidRPr="004311CC">
        <w:t xml:space="preserve"> souhaite maintenant évaluer la pertinence environnementale de ces solutions.</w:t>
      </w:r>
      <w:r>
        <w:t xml:space="preserve"> Elle vous missionne pour comparer plusieurs scénarios de conception via une ACV simplifié, et d’identifier d’éventuels leviers de réduction des dommages environnementaux liés au cycle de vie des marqueurs.</w:t>
      </w:r>
    </w:p>
    <w:p w14:paraId="777741E9" w14:textId="7C68074D" w:rsidR="00EA211F" w:rsidRPr="00124FE2" w:rsidRDefault="00EA211F" w:rsidP="00EA211F">
      <w:r>
        <w:t>Le cahier des charges de cette étude s’intéresse plus précisément aux catégories d’impacts suivantes : réchauffement climatique, épuisement des ressources, et santé humaine.</w:t>
      </w:r>
    </w:p>
    <w:p w14:paraId="6DB9EF8B" w14:textId="43963559" w:rsidR="00EA211F" w:rsidRDefault="00EA211F" w:rsidP="00EA211F">
      <w:r w:rsidRPr="00124FE2">
        <w:t xml:space="preserve">Pour ce TP, vous pouvez utiliser </w:t>
      </w:r>
      <w:proofErr w:type="spellStart"/>
      <w:r w:rsidRPr="00124FE2">
        <w:t>Idemat</w:t>
      </w:r>
      <w:proofErr w:type="spellEnd"/>
      <w:r>
        <w:t xml:space="preserve"> (le tableur allant jusqu’au scope 3)</w:t>
      </w:r>
      <w:r w:rsidRPr="00124FE2">
        <w:t xml:space="preserve"> à télécharger gratuitement via le lien ci suivant : </w:t>
      </w:r>
      <w:hyperlink r:id="rId10" w:history="1">
        <w:r w:rsidRPr="00124FE2">
          <w:rPr>
            <w:rStyle w:val="Lienhypertexte"/>
          </w:rPr>
          <w:t>https://www.ecocostsvalue.com/data-tools-books/</w:t>
        </w:r>
      </w:hyperlink>
      <w:r>
        <w:br/>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897"/>
        <w:gridCol w:w="1513"/>
        <w:gridCol w:w="2467"/>
        <w:gridCol w:w="2392"/>
      </w:tblGrid>
      <w:tr w:rsidR="00EA211F" w14:paraId="4368C467" w14:textId="77777777" w:rsidTr="00E12CAA">
        <w:trPr>
          <w:trHeight w:val="258"/>
          <w:jc w:val="center"/>
        </w:trPr>
        <w:tc>
          <w:tcPr>
            <w:tcW w:w="989" w:type="pct"/>
          </w:tcPr>
          <w:p w14:paraId="11279EEF" w14:textId="77777777" w:rsidR="00EA211F" w:rsidRPr="00EA211F" w:rsidRDefault="00EA211F" w:rsidP="00EA211F">
            <w:pPr>
              <w:jc w:val="center"/>
              <w:rPr>
                <w:b/>
                <w:bCs/>
                <w:color w:val="0F4761"/>
              </w:rPr>
            </w:pPr>
            <w:r w:rsidRPr="00EA211F">
              <w:rPr>
                <w:b/>
                <w:bCs/>
                <w:color w:val="0F4761"/>
              </w:rPr>
              <w:t>Composant</w:t>
            </w:r>
          </w:p>
        </w:tc>
        <w:tc>
          <w:tcPr>
            <w:tcW w:w="495" w:type="pct"/>
          </w:tcPr>
          <w:p w14:paraId="3808FEFB" w14:textId="77777777" w:rsidR="00EA211F" w:rsidRPr="00EA211F" w:rsidRDefault="00EA211F" w:rsidP="00EA211F">
            <w:pPr>
              <w:jc w:val="center"/>
              <w:rPr>
                <w:b/>
                <w:bCs/>
                <w:color w:val="0F4761"/>
              </w:rPr>
            </w:pPr>
            <w:r w:rsidRPr="00EA211F">
              <w:rPr>
                <w:b/>
                <w:bCs/>
                <w:color w:val="0F4761"/>
              </w:rPr>
              <w:t>Masse</w:t>
            </w:r>
          </w:p>
        </w:tc>
        <w:tc>
          <w:tcPr>
            <w:tcW w:w="835" w:type="pct"/>
          </w:tcPr>
          <w:p w14:paraId="4C2AB9F3" w14:textId="77777777" w:rsidR="00EA211F" w:rsidRPr="00EA211F" w:rsidRDefault="00EA211F" w:rsidP="00EA211F">
            <w:pPr>
              <w:jc w:val="center"/>
              <w:rPr>
                <w:b/>
                <w:bCs/>
                <w:color w:val="0F4761"/>
              </w:rPr>
            </w:pPr>
            <w:r w:rsidRPr="00EA211F">
              <w:rPr>
                <w:b/>
                <w:bCs/>
                <w:color w:val="0F4761"/>
              </w:rPr>
              <w:t>Matériau</w:t>
            </w:r>
          </w:p>
        </w:tc>
        <w:tc>
          <w:tcPr>
            <w:tcW w:w="1361" w:type="pct"/>
          </w:tcPr>
          <w:p w14:paraId="1E2C8628" w14:textId="77777777" w:rsidR="00EA211F" w:rsidRPr="00EA211F" w:rsidRDefault="00EA211F" w:rsidP="00EA211F">
            <w:pPr>
              <w:jc w:val="center"/>
              <w:rPr>
                <w:b/>
                <w:bCs/>
                <w:color w:val="0F4761"/>
              </w:rPr>
            </w:pPr>
            <w:r w:rsidRPr="00EA211F">
              <w:rPr>
                <w:b/>
                <w:bCs/>
                <w:color w:val="0F4761"/>
              </w:rPr>
              <w:t>Procédé de fabrication</w:t>
            </w:r>
          </w:p>
        </w:tc>
        <w:tc>
          <w:tcPr>
            <w:tcW w:w="1320" w:type="pct"/>
          </w:tcPr>
          <w:p w14:paraId="2D236F12" w14:textId="5ED3AD09" w:rsidR="00EA211F" w:rsidRPr="00EA211F" w:rsidRDefault="00EA211F" w:rsidP="00EA211F">
            <w:pPr>
              <w:jc w:val="center"/>
              <w:rPr>
                <w:b/>
                <w:bCs/>
                <w:color w:val="0F4761"/>
              </w:rPr>
            </w:pPr>
            <w:r w:rsidRPr="00EA211F">
              <w:rPr>
                <w:b/>
                <w:bCs/>
                <w:color w:val="0F4761"/>
              </w:rPr>
              <w:t>Photo du composant</w:t>
            </w:r>
          </w:p>
        </w:tc>
      </w:tr>
      <w:tr w:rsidR="00EA211F" w14:paraId="3AC6711D" w14:textId="77777777" w:rsidTr="00E12CAA">
        <w:trPr>
          <w:trHeight w:val="535"/>
          <w:jc w:val="center"/>
        </w:trPr>
        <w:tc>
          <w:tcPr>
            <w:tcW w:w="989" w:type="pct"/>
            <w:vAlign w:val="center"/>
          </w:tcPr>
          <w:p w14:paraId="25438C78" w14:textId="77777777" w:rsidR="00EA211F" w:rsidRDefault="00EA211F" w:rsidP="00E12CAA">
            <w:pPr>
              <w:jc w:val="center"/>
            </w:pPr>
            <w:r>
              <w:t>Capuchon</w:t>
            </w:r>
          </w:p>
        </w:tc>
        <w:tc>
          <w:tcPr>
            <w:tcW w:w="495" w:type="pct"/>
            <w:vAlign w:val="center"/>
          </w:tcPr>
          <w:p w14:paraId="2B70A466" w14:textId="77777777" w:rsidR="00EA211F" w:rsidRDefault="00EA211F" w:rsidP="00E12CAA">
            <w:pPr>
              <w:jc w:val="center"/>
            </w:pPr>
            <w:r>
              <w:t>2 g</w:t>
            </w:r>
          </w:p>
        </w:tc>
        <w:tc>
          <w:tcPr>
            <w:tcW w:w="835" w:type="pct"/>
            <w:vAlign w:val="center"/>
          </w:tcPr>
          <w:p w14:paraId="1B5F9780" w14:textId="77777777" w:rsidR="00EA211F" w:rsidRDefault="00EA211F" w:rsidP="00E12CAA">
            <w:pPr>
              <w:jc w:val="center"/>
            </w:pPr>
            <w:r>
              <w:t>Polyéthylène Haute Densité</w:t>
            </w:r>
          </w:p>
        </w:tc>
        <w:tc>
          <w:tcPr>
            <w:tcW w:w="1361" w:type="pct"/>
            <w:vAlign w:val="center"/>
          </w:tcPr>
          <w:p w14:paraId="3D43D70D" w14:textId="77777777" w:rsidR="00EA211F" w:rsidRDefault="00EA211F" w:rsidP="00E12CAA">
            <w:pPr>
              <w:jc w:val="center"/>
            </w:pPr>
            <w:r>
              <w:t>Moulage par injection</w:t>
            </w:r>
          </w:p>
        </w:tc>
        <w:tc>
          <w:tcPr>
            <w:tcW w:w="1320" w:type="pct"/>
            <w:vAlign w:val="center"/>
          </w:tcPr>
          <w:p w14:paraId="6E9DE77C" w14:textId="7A19327B" w:rsidR="00EA211F" w:rsidRDefault="00770FD8" w:rsidP="00E12CAA">
            <w:pPr>
              <w:jc w:val="center"/>
            </w:pPr>
            <w:r>
              <w:rPr>
                <w:noProof/>
              </w:rPr>
              <w:drawing>
                <wp:inline distT="0" distB="0" distL="0" distR="0" wp14:anchorId="33B293CB" wp14:editId="64DC9701">
                  <wp:extent cx="628650" cy="292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a:fillRect/>
                          </a:stretch>
                        </pic:blipFill>
                        <pic:spPr>
                          <a:xfrm>
                            <a:off x="0" y="0"/>
                            <a:ext cx="628650" cy="292100"/>
                          </a:xfrm>
                          <a:prstGeom prst="rect">
                            <a:avLst/>
                          </a:prstGeom>
                        </pic:spPr>
                      </pic:pic>
                    </a:graphicData>
                  </a:graphic>
                </wp:inline>
              </w:drawing>
            </w:r>
          </w:p>
        </w:tc>
      </w:tr>
      <w:tr w:rsidR="00EA211F" w14:paraId="6AF69C17" w14:textId="77777777" w:rsidTr="00E12CAA">
        <w:trPr>
          <w:trHeight w:val="535"/>
          <w:jc w:val="center"/>
        </w:trPr>
        <w:tc>
          <w:tcPr>
            <w:tcW w:w="989" w:type="pct"/>
            <w:vAlign w:val="center"/>
          </w:tcPr>
          <w:p w14:paraId="69EE431E" w14:textId="77777777" w:rsidR="00EA211F" w:rsidRDefault="00EA211F" w:rsidP="00E12CAA">
            <w:pPr>
              <w:jc w:val="center"/>
            </w:pPr>
            <w:r>
              <w:t>Support feutre</w:t>
            </w:r>
          </w:p>
        </w:tc>
        <w:tc>
          <w:tcPr>
            <w:tcW w:w="495" w:type="pct"/>
            <w:vAlign w:val="center"/>
          </w:tcPr>
          <w:p w14:paraId="7491D114" w14:textId="77777777" w:rsidR="00EA211F" w:rsidRDefault="00EA211F" w:rsidP="00E12CAA">
            <w:pPr>
              <w:jc w:val="center"/>
            </w:pPr>
            <w:r>
              <w:t>2 g</w:t>
            </w:r>
          </w:p>
        </w:tc>
        <w:tc>
          <w:tcPr>
            <w:tcW w:w="835" w:type="pct"/>
            <w:vAlign w:val="center"/>
          </w:tcPr>
          <w:p w14:paraId="190EDDC9" w14:textId="77777777" w:rsidR="00EA211F" w:rsidRDefault="00EA211F" w:rsidP="00E12CAA">
            <w:pPr>
              <w:jc w:val="center"/>
            </w:pPr>
            <w:r>
              <w:t>Polyéthylène Haute Densité</w:t>
            </w:r>
          </w:p>
        </w:tc>
        <w:tc>
          <w:tcPr>
            <w:tcW w:w="1361" w:type="pct"/>
            <w:vAlign w:val="center"/>
          </w:tcPr>
          <w:p w14:paraId="6A5F22B0" w14:textId="77777777" w:rsidR="00EA211F" w:rsidRDefault="00EA211F" w:rsidP="00E12CAA">
            <w:pPr>
              <w:jc w:val="center"/>
            </w:pPr>
            <w:r w:rsidRPr="00F76F8B">
              <w:t>Moulage par injection</w:t>
            </w:r>
          </w:p>
        </w:tc>
        <w:tc>
          <w:tcPr>
            <w:tcW w:w="1320" w:type="pct"/>
            <w:vAlign w:val="center"/>
          </w:tcPr>
          <w:p w14:paraId="5EC29C64" w14:textId="09E21BC4" w:rsidR="00EA211F" w:rsidRDefault="00770FD8" w:rsidP="00E12CAA">
            <w:pPr>
              <w:jc w:val="center"/>
            </w:pPr>
            <w:r>
              <w:rPr>
                <w:noProof/>
              </w:rPr>
              <w:drawing>
                <wp:inline distT="0" distB="0" distL="0" distR="0" wp14:anchorId="424FD2B2" wp14:editId="0B52BBC0">
                  <wp:extent cx="485775" cy="305435"/>
                  <wp:effectExtent l="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2"/>
                          <a:stretch>
                            <a:fillRect/>
                          </a:stretch>
                        </pic:blipFill>
                        <pic:spPr>
                          <a:xfrm>
                            <a:off x="0" y="0"/>
                            <a:ext cx="485775" cy="305435"/>
                          </a:xfrm>
                          <a:prstGeom prst="rect">
                            <a:avLst/>
                          </a:prstGeom>
                        </pic:spPr>
                      </pic:pic>
                    </a:graphicData>
                  </a:graphic>
                </wp:inline>
              </w:drawing>
            </w:r>
          </w:p>
        </w:tc>
      </w:tr>
      <w:tr w:rsidR="00EA211F" w14:paraId="260B63E4" w14:textId="77777777" w:rsidTr="00E12CAA">
        <w:trPr>
          <w:trHeight w:val="535"/>
          <w:jc w:val="center"/>
        </w:trPr>
        <w:tc>
          <w:tcPr>
            <w:tcW w:w="989" w:type="pct"/>
            <w:vAlign w:val="center"/>
          </w:tcPr>
          <w:p w14:paraId="11CF108D" w14:textId="77777777" w:rsidR="00EA211F" w:rsidRDefault="00EA211F" w:rsidP="00E12CAA">
            <w:pPr>
              <w:jc w:val="center"/>
            </w:pPr>
            <w:r>
              <w:t>Feutre</w:t>
            </w:r>
          </w:p>
        </w:tc>
        <w:tc>
          <w:tcPr>
            <w:tcW w:w="495" w:type="pct"/>
            <w:vAlign w:val="center"/>
          </w:tcPr>
          <w:p w14:paraId="4FBA9DCE" w14:textId="77777777" w:rsidR="00EA211F" w:rsidRDefault="00EA211F" w:rsidP="00E12CAA">
            <w:pPr>
              <w:jc w:val="center"/>
            </w:pPr>
            <w:r>
              <w:t>1 g</w:t>
            </w:r>
          </w:p>
        </w:tc>
        <w:tc>
          <w:tcPr>
            <w:tcW w:w="835" w:type="pct"/>
            <w:vAlign w:val="center"/>
          </w:tcPr>
          <w:p w14:paraId="4544C499" w14:textId="77777777" w:rsidR="00EA211F" w:rsidRDefault="00EA211F" w:rsidP="00E12CAA">
            <w:pPr>
              <w:jc w:val="center"/>
            </w:pPr>
            <w:r>
              <w:t>Nylon PA66</w:t>
            </w:r>
          </w:p>
        </w:tc>
        <w:tc>
          <w:tcPr>
            <w:tcW w:w="1361" w:type="pct"/>
            <w:vAlign w:val="center"/>
          </w:tcPr>
          <w:p w14:paraId="7A36F679" w14:textId="77777777" w:rsidR="00EA211F" w:rsidRDefault="00EA211F" w:rsidP="00E12CAA">
            <w:pPr>
              <w:jc w:val="center"/>
            </w:pPr>
            <w:r>
              <w:t>-</w:t>
            </w:r>
          </w:p>
        </w:tc>
        <w:tc>
          <w:tcPr>
            <w:tcW w:w="1320" w:type="pct"/>
            <w:vAlign w:val="center"/>
          </w:tcPr>
          <w:p w14:paraId="299A7872" w14:textId="2ED71A5C" w:rsidR="00EA211F" w:rsidRDefault="00770FD8" w:rsidP="00E12CAA">
            <w:pPr>
              <w:jc w:val="center"/>
            </w:pPr>
            <w:r>
              <w:rPr>
                <w:noProof/>
              </w:rPr>
              <w:drawing>
                <wp:inline distT="0" distB="0" distL="0" distR="0" wp14:anchorId="0D1B09BA" wp14:editId="6150D0ED">
                  <wp:extent cx="1354455" cy="3238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a:stretch>
                            <a:fillRect/>
                          </a:stretch>
                        </pic:blipFill>
                        <pic:spPr>
                          <a:xfrm>
                            <a:off x="0" y="0"/>
                            <a:ext cx="1354455" cy="323850"/>
                          </a:xfrm>
                          <a:prstGeom prst="rect">
                            <a:avLst/>
                          </a:prstGeom>
                        </pic:spPr>
                      </pic:pic>
                    </a:graphicData>
                  </a:graphic>
                </wp:inline>
              </w:drawing>
            </w:r>
          </w:p>
        </w:tc>
      </w:tr>
      <w:tr w:rsidR="00EA211F" w14:paraId="635AC4B0" w14:textId="77777777" w:rsidTr="00E12CAA">
        <w:trPr>
          <w:trHeight w:val="535"/>
          <w:jc w:val="center"/>
        </w:trPr>
        <w:tc>
          <w:tcPr>
            <w:tcW w:w="989" w:type="pct"/>
            <w:vAlign w:val="center"/>
          </w:tcPr>
          <w:p w14:paraId="1E03D754" w14:textId="77777777" w:rsidR="00EA211F" w:rsidRDefault="00EA211F" w:rsidP="00E12CAA">
            <w:pPr>
              <w:jc w:val="center"/>
            </w:pPr>
            <w:r>
              <w:t>Cartouche feutre</w:t>
            </w:r>
          </w:p>
        </w:tc>
        <w:tc>
          <w:tcPr>
            <w:tcW w:w="495" w:type="pct"/>
            <w:vAlign w:val="center"/>
          </w:tcPr>
          <w:p w14:paraId="14687F85" w14:textId="77777777" w:rsidR="00EA211F" w:rsidRDefault="00EA211F" w:rsidP="00E12CAA">
            <w:pPr>
              <w:jc w:val="center"/>
            </w:pPr>
            <w:r>
              <w:t>10 g</w:t>
            </w:r>
          </w:p>
        </w:tc>
        <w:tc>
          <w:tcPr>
            <w:tcW w:w="835" w:type="pct"/>
            <w:vAlign w:val="center"/>
          </w:tcPr>
          <w:p w14:paraId="07F0C82B" w14:textId="77777777" w:rsidR="00EA211F" w:rsidRDefault="00EA211F" w:rsidP="00E12CAA">
            <w:pPr>
              <w:jc w:val="center"/>
            </w:pPr>
            <w:r>
              <w:t>Polyester</w:t>
            </w:r>
          </w:p>
        </w:tc>
        <w:tc>
          <w:tcPr>
            <w:tcW w:w="1361" w:type="pct"/>
            <w:vAlign w:val="center"/>
          </w:tcPr>
          <w:p w14:paraId="3B3BCB99" w14:textId="77777777" w:rsidR="00EA211F" w:rsidRDefault="00EA211F" w:rsidP="00E12CAA">
            <w:pPr>
              <w:jc w:val="center"/>
            </w:pPr>
            <w:r>
              <w:t>-</w:t>
            </w:r>
          </w:p>
        </w:tc>
        <w:tc>
          <w:tcPr>
            <w:tcW w:w="1320" w:type="pct"/>
            <w:vAlign w:val="center"/>
          </w:tcPr>
          <w:p w14:paraId="7FFE8C56" w14:textId="3A1D7406" w:rsidR="00EA211F" w:rsidRDefault="00770FD8" w:rsidP="00E12CAA">
            <w:pPr>
              <w:jc w:val="center"/>
            </w:pPr>
            <w:r>
              <w:rPr>
                <w:noProof/>
              </w:rPr>
              <w:drawing>
                <wp:inline distT="0" distB="0" distL="0" distR="0" wp14:anchorId="16F8EA51" wp14:editId="6641DA9F">
                  <wp:extent cx="1190625" cy="321945"/>
                  <wp:effectExtent l="0" t="0" r="9525" b="190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4"/>
                          <a:stretch>
                            <a:fillRect/>
                          </a:stretch>
                        </pic:blipFill>
                        <pic:spPr>
                          <a:xfrm>
                            <a:off x="0" y="0"/>
                            <a:ext cx="1190625" cy="321945"/>
                          </a:xfrm>
                          <a:prstGeom prst="rect">
                            <a:avLst/>
                          </a:prstGeom>
                        </pic:spPr>
                      </pic:pic>
                    </a:graphicData>
                  </a:graphic>
                </wp:inline>
              </w:drawing>
            </w:r>
          </w:p>
        </w:tc>
      </w:tr>
      <w:tr w:rsidR="00EA211F" w14:paraId="5989282C" w14:textId="77777777" w:rsidTr="00E12CAA">
        <w:trPr>
          <w:trHeight w:val="535"/>
          <w:jc w:val="center"/>
        </w:trPr>
        <w:tc>
          <w:tcPr>
            <w:tcW w:w="989" w:type="pct"/>
            <w:vAlign w:val="center"/>
          </w:tcPr>
          <w:p w14:paraId="2C38811C" w14:textId="77777777" w:rsidR="00EA211F" w:rsidRDefault="00EA211F" w:rsidP="00E12CAA">
            <w:pPr>
              <w:jc w:val="center"/>
            </w:pPr>
            <w:r>
              <w:t>Corps</w:t>
            </w:r>
          </w:p>
        </w:tc>
        <w:tc>
          <w:tcPr>
            <w:tcW w:w="495" w:type="pct"/>
            <w:vAlign w:val="center"/>
          </w:tcPr>
          <w:p w14:paraId="0EBDDB9A" w14:textId="77777777" w:rsidR="00EA211F" w:rsidRDefault="00EA211F" w:rsidP="00E12CAA">
            <w:pPr>
              <w:jc w:val="center"/>
            </w:pPr>
            <w:r>
              <w:t>15 g</w:t>
            </w:r>
          </w:p>
        </w:tc>
        <w:tc>
          <w:tcPr>
            <w:tcW w:w="835" w:type="pct"/>
            <w:vAlign w:val="center"/>
          </w:tcPr>
          <w:p w14:paraId="249E60EA" w14:textId="77777777" w:rsidR="00EA211F" w:rsidRDefault="00EA211F" w:rsidP="00E12CAA">
            <w:pPr>
              <w:jc w:val="center"/>
            </w:pPr>
            <w:r>
              <w:t>Polyéthylène Haute Densité</w:t>
            </w:r>
          </w:p>
        </w:tc>
        <w:tc>
          <w:tcPr>
            <w:tcW w:w="1361" w:type="pct"/>
            <w:vAlign w:val="center"/>
          </w:tcPr>
          <w:p w14:paraId="6AF8ACCC" w14:textId="77777777" w:rsidR="00EA211F" w:rsidRDefault="00EA211F" w:rsidP="00E12CAA">
            <w:pPr>
              <w:jc w:val="center"/>
            </w:pPr>
            <w:r w:rsidRPr="00F76F8B">
              <w:t>Moulage par injection</w:t>
            </w:r>
          </w:p>
        </w:tc>
        <w:tc>
          <w:tcPr>
            <w:tcW w:w="1320" w:type="pct"/>
            <w:vAlign w:val="center"/>
          </w:tcPr>
          <w:p w14:paraId="610A0C5D" w14:textId="6DD2A2CE" w:rsidR="00EA211F" w:rsidRDefault="00770FD8" w:rsidP="00E12CAA">
            <w:pPr>
              <w:jc w:val="center"/>
            </w:pPr>
            <w:r>
              <w:rPr>
                <w:noProof/>
              </w:rPr>
              <w:drawing>
                <wp:inline distT="0" distB="0" distL="0" distR="0" wp14:anchorId="44BCB631" wp14:editId="16A64B4C">
                  <wp:extent cx="1181100" cy="392430"/>
                  <wp:effectExtent l="0" t="0" r="0" b="762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5"/>
                          <a:stretch>
                            <a:fillRect/>
                          </a:stretch>
                        </pic:blipFill>
                        <pic:spPr>
                          <a:xfrm>
                            <a:off x="0" y="0"/>
                            <a:ext cx="1181100" cy="392430"/>
                          </a:xfrm>
                          <a:prstGeom prst="rect">
                            <a:avLst/>
                          </a:prstGeom>
                        </pic:spPr>
                      </pic:pic>
                    </a:graphicData>
                  </a:graphic>
                </wp:inline>
              </w:drawing>
            </w:r>
          </w:p>
        </w:tc>
      </w:tr>
      <w:tr w:rsidR="00EA211F" w14:paraId="40F78A53" w14:textId="77777777" w:rsidTr="00E12CAA">
        <w:trPr>
          <w:trHeight w:val="535"/>
          <w:jc w:val="center"/>
        </w:trPr>
        <w:tc>
          <w:tcPr>
            <w:tcW w:w="989" w:type="pct"/>
            <w:vAlign w:val="center"/>
          </w:tcPr>
          <w:p w14:paraId="7DD6F865" w14:textId="77777777" w:rsidR="00EA211F" w:rsidRDefault="00EA211F" w:rsidP="00E12CAA">
            <w:pPr>
              <w:jc w:val="center"/>
            </w:pPr>
            <w:r>
              <w:t>Encre</w:t>
            </w:r>
          </w:p>
        </w:tc>
        <w:tc>
          <w:tcPr>
            <w:tcW w:w="495" w:type="pct"/>
            <w:vAlign w:val="center"/>
          </w:tcPr>
          <w:p w14:paraId="3B0447C8" w14:textId="77777777" w:rsidR="00EA211F" w:rsidRDefault="00EA211F" w:rsidP="00E12CAA">
            <w:pPr>
              <w:jc w:val="center"/>
            </w:pPr>
            <w:r>
              <w:t>15 g</w:t>
            </w:r>
          </w:p>
        </w:tc>
        <w:tc>
          <w:tcPr>
            <w:tcW w:w="835" w:type="pct"/>
            <w:vAlign w:val="center"/>
          </w:tcPr>
          <w:p w14:paraId="2E429EB2" w14:textId="77777777" w:rsidR="00EA211F" w:rsidRDefault="00EA211F" w:rsidP="00E12CAA">
            <w:pPr>
              <w:jc w:val="center"/>
            </w:pPr>
            <w:r>
              <w:t>Ethanol synthétique</w:t>
            </w:r>
          </w:p>
        </w:tc>
        <w:tc>
          <w:tcPr>
            <w:tcW w:w="1361" w:type="pct"/>
            <w:vAlign w:val="center"/>
          </w:tcPr>
          <w:p w14:paraId="4CCEE0BD" w14:textId="77777777" w:rsidR="00EA211F" w:rsidRDefault="00EA211F" w:rsidP="00E12CAA">
            <w:pPr>
              <w:jc w:val="center"/>
            </w:pPr>
            <w:r>
              <w:t>-</w:t>
            </w:r>
          </w:p>
        </w:tc>
        <w:tc>
          <w:tcPr>
            <w:tcW w:w="1320" w:type="pct"/>
            <w:vAlign w:val="center"/>
          </w:tcPr>
          <w:p w14:paraId="379096D7" w14:textId="503C793F" w:rsidR="00EA211F" w:rsidRDefault="00770FD8" w:rsidP="00E12CAA">
            <w:pPr>
              <w:jc w:val="center"/>
            </w:pPr>
            <w:r>
              <w:rPr>
                <w:noProof/>
              </w:rPr>
              <w:drawing>
                <wp:inline distT="0" distB="0" distL="0" distR="0" wp14:anchorId="3B043C0E" wp14:editId="2C80BA95">
                  <wp:extent cx="384810" cy="48006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6"/>
                          <a:stretch>
                            <a:fillRect/>
                          </a:stretch>
                        </pic:blipFill>
                        <pic:spPr>
                          <a:xfrm>
                            <a:off x="0" y="0"/>
                            <a:ext cx="384810" cy="480060"/>
                          </a:xfrm>
                          <a:prstGeom prst="rect">
                            <a:avLst/>
                          </a:prstGeom>
                        </pic:spPr>
                      </pic:pic>
                    </a:graphicData>
                  </a:graphic>
                </wp:inline>
              </w:drawing>
            </w:r>
          </w:p>
        </w:tc>
      </w:tr>
    </w:tbl>
    <w:p w14:paraId="6E673614" w14:textId="1ACA42A9" w:rsidR="00EA211F" w:rsidRPr="00EA211F" w:rsidRDefault="00EA211F" w:rsidP="00EA211F">
      <w:pPr>
        <w:rPr>
          <w:i/>
        </w:rPr>
      </w:pPr>
      <w:r w:rsidRPr="00F730EF">
        <w:rPr>
          <w:i/>
        </w:rPr>
        <w:t>NB : Les données ont été simplifiées pour faciliter la réalisation de l’étude ACV.</w:t>
      </w:r>
    </w:p>
    <w:p w14:paraId="69B4DD2E" w14:textId="77777777" w:rsidR="00EA211F" w:rsidRDefault="00EA211F">
      <w:pPr>
        <w:rPr>
          <w:rFonts w:asciiTheme="minorHAnsi" w:hAnsiTheme="minorHAnsi"/>
          <w:color w:val="037F9A"/>
          <w:w w:val="85"/>
          <w:sz w:val="32"/>
          <w:szCs w:val="32"/>
        </w:rPr>
      </w:pPr>
      <w:r>
        <w:rPr>
          <w:rFonts w:asciiTheme="minorHAnsi" w:hAnsiTheme="minorHAnsi"/>
          <w:color w:val="037F9A"/>
          <w:w w:val="85"/>
          <w:sz w:val="32"/>
          <w:szCs w:val="32"/>
        </w:rPr>
        <w:br w:type="page"/>
      </w:r>
    </w:p>
    <w:p w14:paraId="7B81D868" w14:textId="7FB8A592" w:rsidR="00EA211F" w:rsidRPr="00EA211F" w:rsidRDefault="00EA211F" w:rsidP="00EA211F">
      <w:pPr>
        <w:rPr>
          <w:rFonts w:asciiTheme="minorHAnsi" w:hAnsiTheme="minorHAnsi"/>
          <w:color w:val="037F9A"/>
          <w:w w:val="85"/>
          <w:sz w:val="32"/>
          <w:szCs w:val="32"/>
        </w:rPr>
      </w:pPr>
      <w:r w:rsidRPr="00EA211F">
        <w:rPr>
          <w:rFonts w:asciiTheme="minorHAnsi" w:hAnsiTheme="minorHAnsi"/>
          <w:color w:val="037F9A"/>
          <w:w w:val="85"/>
          <w:sz w:val="32"/>
          <w:szCs w:val="32"/>
        </w:rPr>
        <w:lastRenderedPageBreak/>
        <w:t>Donnés sur le cycle de vie :</w:t>
      </w:r>
    </w:p>
    <w:p w14:paraId="3F5809B7"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Informations générales</w:t>
      </w:r>
    </w:p>
    <w:p w14:paraId="2F7975BE" w14:textId="77777777" w:rsidR="00EA211F" w:rsidRDefault="00EA211F" w:rsidP="00EA211F">
      <w:r>
        <w:t>Durée de vie : 6 mois</w:t>
      </w:r>
    </w:p>
    <w:p w14:paraId="61A6BFB4" w14:textId="77777777" w:rsidR="00EA211F" w:rsidRDefault="00EA211F" w:rsidP="00EA211F">
      <w:r>
        <w:t>Utilisation : 2 heures par jour</w:t>
      </w:r>
    </w:p>
    <w:p w14:paraId="2F20C9CE" w14:textId="7BE23C2E" w:rsidR="00EA211F" w:rsidRDefault="00EA211F" w:rsidP="00EA211F">
      <w:pPr>
        <w:tabs>
          <w:tab w:val="left" w:pos="4740"/>
        </w:tabs>
      </w:pPr>
      <w:r w:rsidRPr="004B1EC4">
        <w:t>Le marqueur est utilisé jusqu’à épuisement complet de l’encre, sans dysfonctionnement ni non-conformité.</w:t>
      </w:r>
    </w:p>
    <w:p w14:paraId="17EAC060"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Logistique</w:t>
      </w:r>
    </w:p>
    <w:p w14:paraId="23E2E2DE" w14:textId="77777777" w:rsidR="00EA211F" w:rsidRDefault="00EA211F" w:rsidP="00EA211F">
      <w:pPr>
        <w:tabs>
          <w:tab w:val="left" w:pos="4740"/>
        </w:tabs>
      </w:pPr>
      <w:r>
        <w:t>Le corps est fabriqué à Francfort (Allemagne). La fabrication des autres composants, et l’assemblage du marqueur sont faits dans votre usine à Grenoble.</w:t>
      </w:r>
    </w:p>
    <w:p w14:paraId="522616C5" w14:textId="77777777" w:rsidR="00EA211F" w:rsidRDefault="00EA211F" w:rsidP="00EA211F">
      <w:pPr>
        <w:tabs>
          <w:tab w:val="left" w:pos="4740"/>
        </w:tabs>
      </w:pPr>
      <w:r>
        <w:t>Les corps en aluminium sont acheminés par camion 28t (diesel HVO100) entre Francfort et Bâle (330 km) et entre Genève et Grenoble (145 km), et par train (électrique) de Bâle à Genève (251 km).</w:t>
      </w:r>
    </w:p>
    <w:p w14:paraId="4C080D38" w14:textId="0C8061CF" w:rsidR="00EA211F" w:rsidRDefault="00EA211F" w:rsidP="00EA211F">
      <w:pPr>
        <w:tabs>
          <w:tab w:val="left" w:pos="4740"/>
        </w:tabs>
      </w:pPr>
      <w:r>
        <w:t>Le produit est distribué par camionnette (diesel) qui transporte 10 000 marqueurs par tournée autour de Grenoble sur une distance moyenne totale de 20 km (aller-retour).</w:t>
      </w:r>
    </w:p>
    <w:p w14:paraId="6BF002CB"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Assemblage</w:t>
      </w:r>
    </w:p>
    <w:p w14:paraId="5A6E70E7" w14:textId="7C9F760A" w:rsidR="00EA211F" w:rsidRDefault="00EA211F" w:rsidP="00EA211F">
      <w:r w:rsidRPr="00223C6D">
        <w:t>Le produit est assemblé à Grenoble et son assemblage requiert 1MJ/kg de produit.</w:t>
      </w:r>
    </w:p>
    <w:p w14:paraId="59EE36E4"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Utilisation</w:t>
      </w:r>
    </w:p>
    <w:p w14:paraId="3C798C1C" w14:textId="34350590" w:rsidR="00EA211F" w:rsidRPr="00EA211F" w:rsidRDefault="00EA211F" w:rsidP="00EA211F">
      <w:pPr>
        <w:rPr>
          <w:szCs w:val="20"/>
        </w:rPr>
      </w:pPr>
      <w:r>
        <w:rPr>
          <w:szCs w:val="20"/>
        </w:rPr>
        <w:t xml:space="preserve">Au cours de la phase d’utilisation, le produit pollue par dégagement d’éthanol dans l’atmosphère. </w:t>
      </w:r>
    </w:p>
    <w:p w14:paraId="1E00DB5A"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Fin de vie</w:t>
      </w:r>
    </w:p>
    <w:p w14:paraId="21EBC29F" w14:textId="77777777" w:rsidR="00EA211F" w:rsidRDefault="00EA211F" w:rsidP="00EA211F">
      <w:pPr>
        <w:rPr>
          <w:szCs w:val="20"/>
        </w:rPr>
      </w:pPr>
      <w:r>
        <w:rPr>
          <w:bCs/>
          <w:szCs w:val="20"/>
        </w:rPr>
        <w:t>Après épuisement de l’encre, le produit mis aux ordures ménagers non triés, et fini dans l’incinérateur municipal local avec production d’électricité.</w:t>
      </w:r>
    </w:p>
    <w:p w14:paraId="528C2964" w14:textId="43143E6A" w:rsidR="00EA211F" w:rsidRPr="00EA211F" w:rsidRDefault="00EA211F" w:rsidP="00EA211F">
      <w:pPr>
        <w:rPr>
          <w:bCs/>
          <w:szCs w:val="20"/>
        </w:rPr>
      </w:pPr>
      <w:r>
        <w:rPr>
          <w:szCs w:val="20"/>
        </w:rPr>
        <w:t xml:space="preserve">La </w:t>
      </w:r>
      <w:r>
        <w:rPr>
          <w:bCs/>
          <w:szCs w:val="20"/>
        </w:rPr>
        <w:t>collecte des marqueurs en fin de vie est réalisée par camion 28t (électrique) sur une distance moyenne totale est estimée à 10 km (aller-retour).</w:t>
      </w:r>
    </w:p>
    <w:p w14:paraId="781FA876" w14:textId="7AAB439E" w:rsidR="00EA211F" w:rsidRPr="00EA211F" w:rsidRDefault="00EA211F" w:rsidP="00EA211F">
      <w:pPr>
        <w:rPr>
          <w:rFonts w:asciiTheme="minorHAnsi" w:hAnsiTheme="minorHAnsi"/>
          <w:color w:val="037F9A"/>
          <w:w w:val="85"/>
          <w:sz w:val="32"/>
          <w:szCs w:val="32"/>
        </w:rPr>
      </w:pPr>
      <w:r w:rsidRPr="00EA211F">
        <w:rPr>
          <w:rFonts w:asciiTheme="minorHAnsi" w:hAnsiTheme="minorHAnsi"/>
          <w:color w:val="037F9A"/>
          <w:w w:val="85"/>
          <w:sz w:val="32"/>
          <w:szCs w:val="32"/>
        </w:rPr>
        <w:t>Scénarios étudiés :</w:t>
      </w:r>
    </w:p>
    <w:p w14:paraId="718EB053"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Scénario 1 : référence</w:t>
      </w:r>
    </w:p>
    <w:p w14:paraId="07BA39CC" w14:textId="174DFFCF" w:rsidR="00EA211F" w:rsidRDefault="00EA211F" w:rsidP="00EA211F">
      <w:r>
        <w:t>Le premier scénario correspond au fonctionnement actuel du produit avec un corps en polyéthylène et une fin de vie classique.</w:t>
      </w:r>
    </w:p>
    <w:p w14:paraId="0E47F678"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Scénario 2 : utilisation de matériau recyclé</w:t>
      </w:r>
    </w:p>
    <w:p w14:paraId="63224AA9" w14:textId="265B61F9" w:rsidR="00EA211F" w:rsidRDefault="00EA211F" w:rsidP="00EA211F">
      <w:r>
        <w:t>Le deuxième scénario est identique au premier, sauf pour le corps qui est remplacé par un corps en polyéthylène recyclé de 15 g fabriqué dans la même usine à Francfort.</w:t>
      </w:r>
    </w:p>
    <w:p w14:paraId="35971587" w14:textId="77777777" w:rsidR="00EA211F" w:rsidRPr="00EA211F" w:rsidRDefault="00EA211F" w:rsidP="00EA211F">
      <w:pPr>
        <w:spacing w:before="240"/>
        <w:rPr>
          <w:rFonts w:eastAsiaTheme="majorEastAsia" w:cstheme="majorBidi"/>
          <w:b/>
          <w:bCs/>
          <w:color w:val="0F4761" w:themeColor="accent1" w:themeShade="BF"/>
        </w:rPr>
      </w:pPr>
      <w:r w:rsidRPr="00EA211F">
        <w:rPr>
          <w:rFonts w:eastAsiaTheme="majorEastAsia" w:cstheme="majorBidi"/>
          <w:b/>
          <w:bCs/>
          <w:color w:val="0F4761" w:themeColor="accent1" w:themeShade="BF"/>
        </w:rPr>
        <w:t>Scénario 3 : utilisation de matériau recyclable et léger</w:t>
      </w:r>
    </w:p>
    <w:p w14:paraId="0021B79C" w14:textId="77777777" w:rsidR="00EA211F" w:rsidRDefault="00EA211F" w:rsidP="00EA211F">
      <w:r w:rsidRPr="00405859">
        <w:t>Dans le scénario 3, le corps du marqueur est remplacé par de l’aluminium</w:t>
      </w:r>
      <w:r>
        <w:t xml:space="preserve"> de 4 g (</w:t>
      </w:r>
      <w:r w:rsidRPr="00405859">
        <w:t>fabriqué dans la même usine à Francfort</w:t>
      </w:r>
      <w:r>
        <w:t>)</w:t>
      </w:r>
      <w:r w:rsidRPr="00405859">
        <w:t xml:space="preserve"> afin de favoriser le recyclage. Ce choix repose sur le fait que </w:t>
      </w:r>
      <w:r w:rsidRPr="00405859">
        <w:lastRenderedPageBreak/>
        <w:t>l’aluminium est un matériau facilement recyclable, avec des filières bien développées à l’échelle locale.</w:t>
      </w:r>
    </w:p>
    <w:p w14:paraId="7A0F9C10" w14:textId="32AE67C7" w:rsidR="00EA211F" w:rsidRDefault="00EA211F" w:rsidP="00EA211F">
      <w:r>
        <w:t>On estime</w:t>
      </w:r>
      <w:r w:rsidRPr="00602310">
        <w:t xml:space="preserve"> que le corps en aluminium est collecté séparément et recyclé à 100 %, tandis que le reste du marqueur est jeté avec les déchets ménagers et entièrement incinéré</w:t>
      </w:r>
      <w:r>
        <w:t xml:space="preserve"> comme dans les scénarios précédents</w:t>
      </w:r>
      <w:r w:rsidRPr="00602310">
        <w:t>.</w:t>
      </w:r>
    </w:p>
    <w:p w14:paraId="75BEBD3C" w14:textId="57267DE6" w:rsidR="00EA211F" w:rsidRPr="00EA211F" w:rsidRDefault="00EA211F" w:rsidP="00EA211F">
      <w:pPr>
        <w:rPr>
          <w:rFonts w:asciiTheme="minorHAnsi" w:hAnsiTheme="minorHAnsi"/>
          <w:color w:val="037F9A"/>
          <w:w w:val="85"/>
          <w:sz w:val="32"/>
          <w:szCs w:val="32"/>
        </w:rPr>
      </w:pPr>
      <w:r w:rsidRPr="00EA211F">
        <w:rPr>
          <w:rFonts w:asciiTheme="minorHAnsi" w:hAnsiTheme="minorHAnsi"/>
          <w:color w:val="037F9A"/>
          <w:w w:val="85"/>
          <w:sz w:val="32"/>
          <w:szCs w:val="32"/>
        </w:rPr>
        <w:t>Travail demandé :</w:t>
      </w:r>
    </w:p>
    <w:p w14:paraId="46B6AB53" w14:textId="77777777" w:rsidR="00EA211F" w:rsidRDefault="00EA211F" w:rsidP="00EA211F">
      <w:pPr>
        <w:pStyle w:val="Paragraphedeliste"/>
        <w:numPr>
          <w:ilvl w:val="0"/>
          <w:numId w:val="30"/>
        </w:numPr>
        <w:spacing w:after="0"/>
      </w:pPr>
      <w:r w:rsidRPr="007B3BBA">
        <w:t>Formaliser l’objectif de l’étude ACV en une phrase claire et précise</w:t>
      </w:r>
      <w:r>
        <w:t>.</w:t>
      </w:r>
    </w:p>
    <w:p w14:paraId="3240F86F" w14:textId="77777777" w:rsidR="00EA211F" w:rsidRDefault="00EA211F" w:rsidP="00EA211F">
      <w:pPr>
        <w:pStyle w:val="Paragraphedeliste"/>
        <w:numPr>
          <w:ilvl w:val="0"/>
          <w:numId w:val="30"/>
        </w:numPr>
        <w:spacing w:after="0"/>
      </w:pPr>
      <w:r w:rsidRPr="007B3BBA">
        <w:t>Proposer une unité fonctionnelle adaptée permettant de comparer les scénarios</w:t>
      </w:r>
      <w:r>
        <w:t>.</w:t>
      </w:r>
    </w:p>
    <w:p w14:paraId="5F1600DE" w14:textId="6A2F4397" w:rsidR="00EA211F" w:rsidRDefault="00EA211F" w:rsidP="00EA211F">
      <w:pPr>
        <w:pStyle w:val="Paragraphedeliste"/>
        <w:numPr>
          <w:ilvl w:val="0"/>
          <w:numId w:val="30"/>
        </w:numPr>
      </w:pPr>
      <w:r w:rsidRPr="00F730EF">
        <w:t>Calculer le facteur d’allocation pour la phase de distribution d’un marqueur, en tenant compte du nombre de marqueurs transportés par tournée.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2"/>
      </w:tblGrid>
      <w:tr w:rsidR="00EA211F" w14:paraId="6AE88430" w14:textId="77777777" w:rsidTr="00E12CAA">
        <w:tc>
          <w:tcPr>
            <w:tcW w:w="8962" w:type="dxa"/>
            <w:shd w:val="clear" w:color="auto" w:fill="F2F2F2"/>
          </w:tcPr>
          <w:p w14:paraId="6A2C2D52" w14:textId="77777777" w:rsidR="00EA211F" w:rsidRPr="001C5DBE" w:rsidRDefault="00EA211F" w:rsidP="00E12CAA">
            <w:pPr>
              <w:rPr>
                <w:rFonts w:eastAsiaTheme="majorEastAsia" w:cstheme="majorBidi"/>
                <w:b/>
                <w:bCs/>
                <w:color w:val="0F4761" w:themeColor="accent1" w:themeShade="BF"/>
              </w:rPr>
            </w:pPr>
            <w:r w:rsidRPr="001C5DBE">
              <w:rPr>
                <w:rFonts w:eastAsiaTheme="majorEastAsia" w:cstheme="majorBidi"/>
                <w:b/>
                <w:bCs/>
                <w:color w:val="0F4761" w:themeColor="accent1" w:themeShade="BF"/>
              </w:rPr>
              <w:t>Indication :</w:t>
            </w:r>
          </w:p>
          <w:p w14:paraId="3BD3997A" w14:textId="77777777" w:rsidR="00EA211F" w:rsidRPr="001C5DBE" w:rsidRDefault="00EA211F" w:rsidP="001C5DBE">
            <w:pPr>
              <w:rPr>
                <w:i/>
                <w:iCs/>
              </w:rPr>
            </w:pPr>
            <w:r w:rsidRPr="001C5DBE">
              <w:rPr>
                <w:i/>
                <w:iCs/>
              </w:rPr>
              <w:t>Les transports en camion, train, bateau sont exprimés en « kg.km » (allocation déjà incluse).</w:t>
            </w:r>
          </w:p>
          <w:p w14:paraId="3FB3AC5F" w14:textId="77777777" w:rsidR="00EA211F" w:rsidRDefault="00EA211F" w:rsidP="001C5DBE">
            <w:r w:rsidRPr="001C5DBE">
              <w:rPr>
                <w:rFonts w:hint="eastAsia"/>
                <w:i/>
                <w:iCs/>
              </w:rPr>
              <w:t xml:space="preserve">Les transports en véhicules légers (camionnette, voiture, vélo) sont exprimés en </w:t>
            </w:r>
            <w:r w:rsidRPr="001C5DBE">
              <w:rPr>
                <w:i/>
                <w:iCs/>
              </w:rPr>
              <w:t>« </w:t>
            </w:r>
            <w:r w:rsidRPr="001C5DBE">
              <w:rPr>
                <w:rFonts w:hint="eastAsia"/>
                <w:i/>
                <w:iCs/>
              </w:rPr>
              <w:t>km</w:t>
            </w:r>
            <w:r w:rsidRPr="001C5DBE">
              <w:rPr>
                <w:i/>
                <w:iCs/>
              </w:rPr>
              <w:t> ». L’</w:t>
            </w:r>
            <w:r w:rsidRPr="001C5DBE">
              <w:rPr>
                <w:rFonts w:hint="eastAsia"/>
                <w:i/>
                <w:iCs/>
              </w:rPr>
              <w:t xml:space="preserve">allocation </w:t>
            </w:r>
            <w:r w:rsidRPr="001C5DBE">
              <w:rPr>
                <w:i/>
                <w:iCs/>
              </w:rPr>
              <w:t xml:space="preserve">est </w:t>
            </w:r>
            <w:r w:rsidRPr="001C5DBE">
              <w:rPr>
                <w:rFonts w:hint="eastAsia"/>
                <w:i/>
                <w:iCs/>
              </w:rPr>
              <w:t>à faire manuellement</w:t>
            </w:r>
            <w:r w:rsidRPr="001C5DBE">
              <w:rPr>
                <w:i/>
                <w:iCs/>
              </w:rPr>
              <w:t>.</w:t>
            </w:r>
          </w:p>
        </w:tc>
      </w:tr>
    </w:tbl>
    <w:p w14:paraId="3C8F7C49" w14:textId="77777777" w:rsidR="00EA211F" w:rsidRDefault="00EA211F" w:rsidP="00EA211F">
      <w:pPr>
        <w:pStyle w:val="Paragraphedeliste"/>
        <w:numPr>
          <w:ilvl w:val="0"/>
          <w:numId w:val="30"/>
        </w:numPr>
        <w:spacing w:before="240" w:after="0" w:line="276" w:lineRule="auto"/>
      </w:pPr>
      <w:r w:rsidRPr="007B3BBA">
        <w:t>Modéliser les 3 scénarios dans le tableur Excel</w:t>
      </w:r>
      <w:r>
        <w:t>.</w:t>
      </w:r>
    </w:p>
    <w:p w14:paraId="214E75C2" w14:textId="77777777" w:rsidR="00EA211F" w:rsidRDefault="00EA211F" w:rsidP="00EA211F">
      <w:pPr>
        <w:pStyle w:val="Paragraphedeliste"/>
        <w:numPr>
          <w:ilvl w:val="0"/>
          <w:numId w:val="30"/>
        </w:numPr>
        <w:spacing w:after="0" w:line="276" w:lineRule="auto"/>
      </w:pPr>
      <w:r w:rsidRPr="007B3BBA">
        <w:t>Calculer les impacts environnementaux à l’aide du tableur et d’une base de données</w:t>
      </w:r>
      <w:r>
        <w:t>. Dans le cas de plusieurs choix possibles pour le même flux (matériau, procédé…), prendre le choix le plus adapté aux données sur le produit et son cycle de vie. Si tout de même plusieurs choix adaptés sont possibles, formuler des hypothèses supplémentaires, et faire un choix adapté tout en présentant les hypothèses formulées.</w:t>
      </w:r>
    </w:p>
    <w:p w14:paraId="47FB67CF" w14:textId="77777777" w:rsidR="00EA211F" w:rsidRDefault="00EA211F" w:rsidP="00EA211F">
      <w:pPr>
        <w:pStyle w:val="Paragraphedeliste"/>
        <w:numPr>
          <w:ilvl w:val="0"/>
          <w:numId w:val="30"/>
        </w:numPr>
        <w:spacing w:after="0" w:line="276" w:lineRule="auto"/>
      </w:pPr>
      <w:r w:rsidRPr="007B3BBA">
        <w:t>Comparer et interpréter les résultats obtenus, en mettant en évidence les différences entre scénarios, les étapes du cycle de vie les plus contributrices, et les principaux leviers de réduction d’impact</w:t>
      </w:r>
      <w:r>
        <w:t>.</w:t>
      </w:r>
    </w:p>
    <w:p w14:paraId="62436422" w14:textId="01021565" w:rsidR="00EA211F" w:rsidRDefault="00EA211F" w:rsidP="00EA211F">
      <w:pPr>
        <w:pStyle w:val="Paragraphedeliste"/>
        <w:numPr>
          <w:ilvl w:val="0"/>
          <w:numId w:val="30"/>
        </w:numPr>
        <w:spacing w:after="0" w:line="276" w:lineRule="auto"/>
      </w:pPr>
      <w:r w:rsidRPr="00DD73D0">
        <w:t xml:space="preserve">Proposer des recommandations à l’entreprise </w:t>
      </w:r>
      <w:r>
        <w:t xml:space="preserve">en mettant en évidence la </w:t>
      </w:r>
      <w:r w:rsidRPr="00DD73D0">
        <w:t xml:space="preserve">pertinence des </w:t>
      </w:r>
      <w:r>
        <w:t xml:space="preserve">3 </w:t>
      </w:r>
      <w:r w:rsidRPr="00DD73D0">
        <w:t>scénarios</w:t>
      </w:r>
      <w:r>
        <w:t>, et les</w:t>
      </w:r>
      <w:r w:rsidRPr="00DD73D0">
        <w:t xml:space="preserve"> pistes d’amélioration supplémentaires</w:t>
      </w:r>
    </w:p>
    <w:p w14:paraId="4E654BCF" w14:textId="77777777" w:rsidR="00EA211F" w:rsidRPr="00B81123" w:rsidRDefault="00EA211F" w:rsidP="00EA211F"/>
    <w:p w14:paraId="106A92ED" w14:textId="77777777" w:rsidR="00C50CFD" w:rsidRDefault="00C50CFD" w:rsidP="00B71CAD">
      <w:pPr>
        <w:spacing w:before="3000"/>
        <w:jc w:val="left"/>
      </w:pPr>
    </w:p>
    <w:p w14:paraId="72F21C83" w14:textId="77777777" w:rsidR="00EA211F" w:rsidRDefault="00EA211F" w:rsidP="00B71CAD">
      <w:pPr>
        <w:spacing w:before="3000"/>
        <w:jc w:val="left"/>
      </w:pPr>
    </w:p>
    <w:p w14:paraId="607D5DA2" w14:textId="4D3CBA16" w:rsidR="00D73960" w:rsidRDefault="00000000" w:rsidP="00B71CAD">
      <w:pPr>
        <w:spacing w:before="3000"/>
        <w:jc w:val="left"/>
      </w:pPr>
      <w:r>
        <w:t xml:space="preserve">Ce TD a été mutualisé dans le cadre d'un </w:t>
      </w:r>
      <w:r w:rsidRPr="00E10B3C">
        <w:t xml:space="preserve">partenariat </w:t>
      </w:r>
      <w:r w:rsidR="00B71CAD" w:rsidRPr="00E10B3C">
        <w:t xml:space="preserve">entre </w:t>
      </w:r>
      <w:r w:rsidR="00E10B3C" w:rsidRPr="00E10B3C">
        <w:t>l’équipe COSYS du Laboratoire G-SCOP</w:t>
      </w:r>
      <w:r w:rsidR="00A2175D">
        <w:t xml:space="preserve"> </w:t>
      </w:r>
      <w:r w:rsidR="00A2175D" w:rsidRPr="00A2175D">
        <w:t>(Grenoble INP - UGA)</w:t>
      </w:r>
      <w:r w:rsidR="00E10B3C" w:rsidRPr="00E10B3C">
        <w:t xml:space="preserve"> </w:t>
      </w:r>
      <w:r>
        <w:t xml:space="preserve">et la Fondation UVED pour la déclinaison disciplinaire de l'enseignement des enjeux de transition écologique et sociétale (TEDS). </w:t>
      </w:r>
    </w:p>
    <w:p w14:paraId="447DF1B5" w14:textId="77777777" w:rsidR="00D73960" w:rsidRDefault="00D73960">
      <w:pPr>
        <w:jc w:val="left"/>
      </w:pPr>
    </w:p>
    <w:p w14:paraId="2EAE8F23" w14:textId="77777777" w:rsidR="00D73960" w:rsidRDefault="00000000">
      <w:pPr>
        <w:jc w:val="left"/>
      </w:pPr>
      <w:r>
        <w:t xml:space="preserve">Il est mis à disposition selon les termes de la </w:t>
      </w:r>
      <w:hyperlink r:id="rId17">
        <w:r w:rsidR="00D73960">
          <w:rPr>
            <w:color w:val="467886"/>
            <w:u w:val="single"/>
          </w:rPr>
          <w:t>Licence Creative Commons - 4.0 International : Attribution - Pas d’Utilisation Commerciale - Partage dans les Mêmes Conditions</w:t>
        </w:r>
      </w:hyperlink>
    </w:p>
    <w:p w14:paraId="79B5F825" w14:textId="77777777" w:rsidR="00D73960" w:rsidRDefault="00000000">
      <w:pPr>
        <w:spacing w:before="240" w:after="480"/>
        <w:jc w:val="center"/>
      </w:pPr>
      <w:r>
        <w:rPr>
          <w:noProof/>
        </w:rPr>
        <w:drawing>
          <wp:inline distT="0" distB="0" distL="0" distR="0" wp14:anchorId="5FFA41E0" wp14:editId="1EBE1B40">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18"/>
                    <a:srcRect/>
                    <a:stretch>
                      <a:fillRect/>
                    </a:stretch>
                  </pic:blipFill>
                  <pic:spPr>
                    <a:xfrm>
                      <a:off x="0" y="0"/>
                      <a:ext cx="838200" cy="297180"/>
                    </a:xfrm>
                    <a:prstGeom prst="rect">
                      <a:avLst/>
                    </a:prstGeom>
                    <a:ln/>
                  </pic:spPr>
                </pic:pic>
              </a:graphicData>
            </a:graphic>
          </wp:inline>
        </w:drawing>
      </w:r>
    </w:p>
    <w:p w14:paraId="54FD99C1" w14:textId="77777777" w:rsidR="00D73960"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19">
        <w:r w:rsidR="00D73960">
          <w:rPr>
            <w:i/>
            <w:color w:val="467886"/>
            <w:u w:val="single"/>
          </w:rPr>
          <w:t>contact@fondation-uved.fr</w:t>
        </w:r>
      </w:hyperlink>
    </w:p>
    <w:p w14:paraId="200053C3" w14:textId="685B6F8B" w:rsidR="00D73960" w:rsidRDefault="00000000">
      <w:pPr>
        <w:spacing w:before="360"/>
        <w:jc w:val="center"/>
      </w:pPr>
      <w:r>
        <w:t xml:space="preserve">Première édition :  </w:t>
      </w:r>
      <w:r w:rsidR="00EA211F">
        <w:t>juin</w:t>
      </w:r>
      <w:r>
        <w:t xml:space="preserve"> </w:t>
      </w:r>
      <w:r w:rsidR="00E3644B">
        <w:t>2026</w:t>
      </w:r>
    </w:p>
    <w:p w14:paraId="479A20BA" w14:textId="77777777" w:rsidR="00D73960" w:rsidRDefault="00D73960">
      <w:pPr>
        <w:jc w:val="left"/>
      </w:pPr>
    </w:p>
    <w:p w14:paraId="7EE664F2" w14:textId="77777777" w:rsidR="00D73960" w:rsidRDefault="00D73960">
      <w:pPr>
        <w:rPr>
          <w:highlight w:val="cyan"/>
        </w:rPr>
      </w:pPr>
    </w:p>
    <w:sectPr w:rsidR="00D73960">
      <w:footerReference w:type="default" r:id="rId20"/>
      <w:footerReference w:type="first" r:id="rId21"/>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5C62" w14:textId="77777777" w:rsidR="004F2019" w:rsidRDefault="004F2019">
      <w:pPr>
        <w:spacing w:after="0"/>
      </w:pPr>
      <w:r>
        <w:separator/>
      </w:r>
    </w:p>
  </w:endnote>
  <w:endnote w:type="continuationSeparator" w:id="0">
    <w:p w14:paraId="76D00D6A" w14:textId="77777777" w:rsidR="004F2019" w:rsidRDefault="004F2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A9F" w14:textId="78F31A3A" w:rsidR="00D73960" w:rsidRDefault="00000000">
    <w:pPr>
      <w:pBdr>
        <w:top w:val="single" w:sz="4" w:space="12" w:color="037F9A"/>
        <w:left w:val="nil"/>
        <w:bottom w:val="nil"/>
        <w:right w:val="nil"/>
        <w:between w:val="nil"/>
      </w:pBdr>
      <w:tabs>
        <w:tab w:val="center" w:pos="4536"/>
        <w:tab w:val="right" w:pos="9639"/>
      </w:tabs>
      <w:spacing w:before="240" w:after="0"/>
      <w:ind w:left="-567" w:right="-567"/>
      <w:rPr>
        <w:rFonts w:ascii="Aptos SemiBold" w:eastAsia="Aptos SemiBold" w:hAnsi="Aptos SemiBold" w:cs="Aptos SemiBold"/>
        <w:color w:val="037F9A"/>
        <w:sz w:val="28"/>
        <w:szCs w:val="28"/>
      </w:rPr>
    </w:pPr>
    <w:r>
      <w:rPr>
        <w:rFonts w:ascii="Aptos SemiBold" w:eastAsia="Aptos SemiBold" w:hAnsi="Aptos SemiBold" w:cs="Aptos SemiBold"/>
        <w:color w:val="037F9A"/>
      </w:rPr>
      <w:t xml:space="preserve">TD </w:t>
    </w:r>
    <w:r w:rsidR="00BD7C8C" w:rsidRPr="00BD7C8C">
      <w:rPr>
        <w:rFonts w:ascii="Aptos SemiBold" w:eastAsia="Aptos SemiBold" w:hAnsi="Aptos SemiBold" w:cs="Aptos SemiBold"/>
        <w:color w:val="037F9A"/>
      </w:rPr>
      <w:t>Analyse du Cycle de Vie</w:t>
    </w:r>
    <w:r w:rsidR="00EA211F">
      <w:rPr>
        <w:rFonts w:ascii="Aptos SemiBold" w:eastAsia="Aptos SemiBold" w:hAnsi="Aptos SemiBold" w:cs="Aptos SemiBold"/>
        <w:color w:val="037F9A"/>
      </w:rPr>
      <w:t> </w:t>
    </w:r>
    <w:r w:rsidR="00EA211F" w:rsidRPr="00EA211F">
      <w:rPr>
        <w:rFonts w:ascii="Aptos SemiBold" w:eastAsia="Aptos SemiBold" w:hAnsi="Aptos SemiBold" w:cs="Aptos SemiBold"/>
        <w:color w:val="037F9A"/>
      </w:rPr>
      <w:t>: le marqueur pour tableau blanc</w:t>
    </w:r>
    <w:r w:rsidR="00BD7C8C" w:rsidRPr="00BD7C8C">
      <w:rPr>
        <w:rFonts w:ascii="Aptos SemiBold" w:eastAsia="Aptos SemiBold" w:hAnsi="Aptos SemiBold" w:cs="Aptos SemiBold"/>
        <w:color w:val="037F9A"/>
      </w:rPr>
      <w:t xml:space="preserve"> </w:t>
    </w:r>
    <w:r>
      <w:rPr>
        <w:rFonts w:ascii="Aptos SemiBold" w:eastAsia="Aptos SemiBold" w:hAnsi="Aptos SemiBold" w:cs="Aptos SemiBold"/>
        <w:color w:val="037F9A"/>
      </w:rPr>
      <w:t>|</w:t>
    </w:r>
    <w:r>
      <w:rPr>
        <w:rFonts w:ascii="Aptos" w:eastAsia="Aptos" w:hAnsi="Aptos" w:cs="Aptos"/>
        <w:color w:val="037F9A"/>
      </w:rPr>
      <w:t xml:space="preserve"> </w:t>
    </w:r>
    <w:r>
      <w:rPr>
        <w:rFonts w:ascii="Aptos Light" w:eastAsia="Aptos Light" w:hAnsi="Aptos Light" w:cs="Aptos Light"/>
        <w:color w:val="037F9A"/>
      </w:rPr>
      <w:t xml:space="preserve">Licence CC BY-NC-SA </w:t>
    </w:r>
    <w:proofErr w:type="gramStart"/>
    <w:r>
      <w:rPr>
        <w:rFonts w:ascii="Aptos Light" w:eastAsia="Aptos Light" w:hAnsi="Aptos Light" w:cs="Aptos Light"/>
        <w:color w:val="037F9A"/>
      </w:rPr>
      <w:t xml:space="preserve">4.0  </w:t>
    </w:r>
    <w:r>
      <w:rPr>
        <w:rFonts w:ascii="Aptos Light" w:eastAsia="Aptos Light" w:hAnsi="Aptos Light" w:cs="Aptos Light"/>
        <w:color w:val="037F9A"/>
      </w:rPr>
      <w:tab/>
    </w:r>
    <w:proofErr w:type="gramEnd"/>
    <w:r>
      <w:rPr>
        <w:rFonts w:ascii="Aptos SemiBold" w:eastAsia="Aptos SemiBold" w:hAnsi="Aptos SemiBold" w:cs="Aptos SemiBold"/>
        <w:color w:val="037F9A"/>
        <w:sz w:val="28"/>
        <w:szCs w:val="28"/>
      </w:rPr>
      <w:fldChar w:fldCharType="begin"/>
    </w:r>
    <w:r>
      <w:rPr>
        <w:rFonts w:ascii="Aptos SemiBold" w:eastAsia="Aptos SemiBold" w:hAnsi="Aptos SemiBold" w:cs="Aptos SemiBold"/>
        <w:color w:val="037F9A"/>
        <w:sz w:val="28"/>
        <w:szCs w:val="28"/>
      </w:rPr>
      <w:instrText>PAGE</w:instrText>
    </w:r>
    <w:r>
      <w:rPr>
        <w:rFonts w:ascii="Aptos SemiBold" w:eastAsia="Aptos SemiBold" w:hAnsi="Aptos SemiBold" w:cs="Aptos SemiBold"/>
        <w:color w:val="037F9A"/>
        <w:sz w:val="28"/>
        <w:szCs w:val="28"/>
      </w:rPr>
      <w:fldChar w:fldCharType="separate"/>
    </w:r>
    <w:r w:rsidR="00B71CAD">
      <w:rPr>
        <w:rFonts w:ascii="Aptos SemiBold" w:eastAsia="Aptos SemiBold" w:hAnsi="Aptos SemiBold" w:cs="Aptos SemiBold"/>
        <w:noProof/>
        <w:color w:val="037F9A"/>
        <w:sz w:val="28"/>
        <w:szCs w:val="28"/>
      </w:rPr>
      <w:t>2</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02BE" w14:textId="728489A0" w:rsidR="00D73960" w:rsidRDefault="008C408E">
    <w:pPr>
      <w:tabs>
        <w:tab w:val="center" w:pos="2268"/>
        <w:tab w:val="center" w:pos="6663"/>
      </w:tabs>
    </w:pPr>
    <w:r>
      <w:rPr>
        <w:noProof/>
      </w:rPr>
      <w:drawing>
        <wp:anchor distT="0" distB="0" distL="114300" distR="114300" simplePos="0" relativeHeight="251658240" behindDoc="0" locked="0" layoutInCell="1" allowOverlap="1" wp14:anchorId="762DCBFB" wp14:editId="3E0520D8">
          <wp:simplePos x="0" y="0"/>
          <wp:positionH relativeFrom="column">
            <wp:posOffset>3260725</wp:posOffset>
          </wp:positionH>
          <wp:positionV relativeFrom="paragraph">
            <wp:posOffset>193675</wp:posOffset>
          </wp:positionV>
          <wp:extent cx="1915795" cy="1106805"/>
          <wp:effectExtent l="0" t="0" r="8255" b="0"/>
          <wp:wrapThrough wrapText="bothSides">
            <wp:wrapPolygon edited="0">
              <wp:start x="11383" y="0"/>
              <wp:lineTo x="0" y="4833"/>
              <wp:lineTo x="0" y="15243"/>
              <wp:lineTo x="9021" y="18589"/>
              <wp:lineTo x="15464" y="18589"/>
              <wp:lineTo x="16324" y="21191"/>
              <wp:lineTo x="21478" y="21191"/>
              <wp:lineTo x="21478" y="0"/>
              <wp:lineTo x="11383" y="0"/>
            </wp:wrapPolygon>
          </wp:wrapThrough>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1">
                    <a:extLst>
                      <a:ext uri="{28A0092B-C50C-407E-A947-70E740481C1C}">
                        <a14:useLocalDpi xmlns:a14="http://schemas.microsoft.com/office/drawing/2010/main" val="0"/>
                      </a:ext>
                    </a:extLst>
                  </a:blip>
                  <a:srcRect r="1625"/>
                  <a:stretch>
                    <a:fillRect/>
                  </a:stretch>
                </pic:blipFill>
                <pic:spPr>
                  <a:xfrm>
                    <a:off x="0" y="0"/>
                    <a:ext cx="1915795" cy="1106805"/>
                  </a:xfrm>
                  <a:prstGeom prst="rect">
                    <a:avLst/>
                  </a:prstGeom>
                  <a:ln/>
                </pic:spPr>
              </pic:pic>
            </a:graphicData>
          </a:graphic>
        </wp:anchor>
      </w:drawing>
    </w:r>
    <w:r>
      <w:tab/>
      <w:t>Auteur :</w:t>
    </w:r>
    <w:r>
      <w:tab/>
      <w:t>Réalisation :</w:t>
    </w:r>
  </w:p>
  <w:p w14:paraId="6BF61B60" w14:textId="4BCF8094" w:rsidR="00A2175D" w:rsidRPr="00A2175D" w:rsidRDefault="00A2175D" w:rsidP="00A2175D">
    <w:pPr>
      <w:tabs>
        <w:tab w:val="center" w:pos="2268"/>
        <w:tab w:val="center" w:pos="6663"/>
      </w:tabs>
      <w:spacing w:after="720"/>
      <w:jc w:val="left"/>
    </w:pPr>
    <w:r w:rsidRPr="00A2175D">
      <w:rPr>
        <w:noProof/>
      </w:rPr>
      <w:drawing>
        <wp:inline distT="0" distB="0" distL="0" distR="0" wp14:anchorId="58C3D603" wp14:editId="3A3D9FFC">
          <wp:extent cx="2186578" cy="895350"/>
          <wp:effectExtent l="0" t="0" r="4445" b="0"/>
          <wp:docPr id="85733850" name="Image 2"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3850" name="Image 2" descr="Une image contenant texte, Police, capture d’écran, logo&#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248" cy="896034"/>
                  </a:xfrm>
                  <a:prstGeom prst="rect">
                    <a:avLst/>
                  </a:prstGeom>
                  <a:noFill/>
                  <a:ln>
                    <a:noFill/>
                  </a:ln>
                </pic:spPr>
              </pic:pic>
            </a:graphicData>
          </a:graphic>
        </wp:inline>
      </w:drawing>
    </w:r>
    <w:r>
      <w:rPr>
        <w:noProof/>
      </w:rPr>
      <w:t xml:space="preserve">                               </w:t>
    </w:r>
  </w:p>
  <w:p w14:paraId="50C500E0" w14:textId="7678EEEC" w:rsidR="00D73960" w:rsidRDefault="002266C6">
    <w:pPr>
      <w:tabs>
        <w:tab w:val="center" w:pos="2268"/>
        <w:tab w:val="center" w:pos="6663"/>
      </w:tabs>
      <w:spacing w:after="7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34BB" w14:textId="77777777" w:rsidR="004F2019" w:rsidRDefault="004F2019">
      <w:pPr>
        <w:spacing w:after="0"/>
      </w:pPr>
      <w:r>
        <w:separator/>
      </w:r>
    </w:p>
  </w:footnote>
  <w:footnote w:type="continuationSeparator" w:id="0">
    <w:p w14:paraId="45AD548C" w14:textId="77777777" w:rsidR="004F2019" w:rsidRDefault="004F20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6C2"/>
    <w:multiLevelType w:val="hybridMultilevel"/>
    <w:tmpl w:val="9EBC3356"/>
    <w:lvl w:ilvl="0" w:tplc="DC3A4D4A">
      <w:start w:val="1"/>
      <w:numFmt w:val="decimal"/>
      <w:lvlText w:val="%1."/>
      <w:lvlJc w:val="left"/>
      <w:pPr>
        <w:ind w:left="720" w:hanging="360"/>
      </w:pPr>
      <w:rPr>
        <w:b/>
        <w:bCs/>
        <w:color w:val="0F476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B27F49"/>
    <w:multiLevelType w:val="hybridMultilevel"/>
    <w:tmpl w:val="E2C6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55EB5"/>
    <w:multiLevelType w:val="hybridMultilevel"/>
    <w:tmpl w:val="248E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36AE3"/>
    <w:multiLevelType w:val="hybridMultilevel"/>
    <w:tmpl w:val="95B6F8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7EF0616"/>
    <w:multiLevelType w:val="hybridMultilevel"/>
    <w:tmpl w:val="B87E67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B13789E"/>
    <w:multiLevelType w:val="hybridMultilevel"/>
    <w:tmpl w:val="51D00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AD3C1D"/>
    <w:multiLevelType w:val="hybridMultilevel"/>
    <w:tmpl w:val="EAF449F0"/>
    <w:lvl w:ilvl="0" w:tplc="4C46B01E">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5C56C12"/>
    <w:multiLevelType w:val="hybridMultilevel"/>
    <w:tmpl w:val="959ACF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E0E2C"/>
    <w:multiLevelType w:val="multilevel"/>
    <w:tmpl w:val="A876605E"/>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B64F92"/>
    <w:multiLevelType w:val="hybridMultilevel"/>
    <w:tmpl w:val="94865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0277E5"/>
    <w:multiLevelType w:val="hybridMultilevel"/>
    <w:tmpl w:val="D9A29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A0525B"/>
    <w:multiLevelType w:val="hybridMultilevel"/>
    <w:tmpl w:val="6ADC1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045D89"/>
    <w:multiLevelType w:val="hybridMultilevel"/>
    <w:tmpl w:val="4044D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9D7523"/>
    <w:multiLevelType w:val="hybridMultilevel"/>
    <w:tmpl w:val="3AEE2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D44557"/>
    <w:multiLevelType w:val="hybridMultilevel"/>
    <w:tmpl w:val="B44E8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572CDA"/>
    <w:multiLevelType w:val="hybridMultilevel"/>
    <w:tmpl w:val="D42E7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EF58F3"/>
    <w:multiLevelType w:val="hybridMultilevel"/>
    <w:tmpl w:val="48CE6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AA3F8A"/>
    <w:multiLevelType w:val="hybridMultilevel"/>
    <w:tmpl w:val="E2988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6922E5"/>
    <w:multiLevelType w:val="hybridMultilevel"/>
    <w:tmpl w:val="64DA8C3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940F26"/>
    <w:multiLevelType w:val="hybridMultilevel"/>
    <w:tmpl w:val="B6C40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682B18"/>
    <w:multiLevelType w:val="hybridMultilevel"/>
    <w:tmpl w:val="FD1E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8F5C65"/>
    <w:multiLevelType w:val="hybridMultilevel"/>
    <w:tmpl w:val="FB3CB50A"/>
    <w:lvl w:ilvl="0" w:tplc="AFDE7DFE">
      <w:start w:val="1"/>
      <w:numFmt w:val="decimal"/>
      <w:lvlText w:val="%1."/>
      <w:lvlJc w:val="left"/>
      <w:pPr>
        <w:ind w:left="420" w:hanging="360"/>
      </w:pPr>
      <w:rPr>
        <w:rFonts w:hint="default"/>
        <w:b/>
        <w:bCs/>
        <w:color w:val="0F4761"/>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2" w15:restartNumberingAfterBreak="0">
    <w:nsid w:val="570B02E7"/>
    <w:multiLevelType w:val="hybridMultilevel"/>
    <w:tmpl w:val="2008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876067"/>
    <w:multiLevelType w:val="multilevel"/>
    <w:tmpl w:val="64A8D5BE"/>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03B5B4D"/>
    <w:multiLevelType w:val="hybridMultilevel"/>
    <w:tmpl w:val="FCA6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37001">
    <w:abstractNumId w:val="23"/>
  </w:num>
  <w:num w:numId="2" w16cid:durableId="1136528632">
    <w:abstractNumId w:val="8"/>
  </w:num>
  <w:num w:numId="3" w16cid:durableId="1215242013">
    <w:abstractNumId w:val="16"/>
  </w:num>
  <w:num w:numId="4" w16cid:durableId="1396052636">
    <w:abstractNumId w:val="12"/>
  </w:num>
  <w:num w:numId="5" w16cid:durableId="654916269">
    <w:abstractNumId w:val="13"/>
  </w:num>
  <w:num w:numId="6" w16cid:durableId="316615640">
    <w:abstractNumId w:val="15"/>
  </w:num>
  <w:num w:numId="7" w16cid:durableId="1313562063">
    <w:abstractNumId w:val="9"/>
  </w:num>
  <w:num w:numId="8" w16cid:durableId="1702852864">
    <w:abstractNumId w:val="17"/>
  </w:num>
  <w:num w:numId="9" w16cid:durableId="1475216003">
    <w:abstractNumId w:val="4"/>
  </w:num>
  <w:num w:numId="10" w16cid:durableId="248732864">
    <w:abstractNumId w:val="3"/>
  </w:num>
  <w:num w:numId="11" w16cid:durableId="542601409">
    <w:abstractNumId w:val="8"/>
  </w:num>
  <w:num w:numId="12" w16cid:durableId="432163541">
    <w:abstractNumId w:val="7"/>
  </w:num>
  <w:num w:numId="13" w16cid:durableId="1798916830">
    <w:abstractNumId w:val="18"/>
  </w:num>
  <w:num w:numId="14" w16cid:durableId="13266043">
    <w:abstractNumId w:val="24"/>
  </w:num>
  <w:num w:numId="15" w16cid:durableId="1382754991">
    <w:abstractNumId w:val="8"/>
  </w:num>
  <w:num w:numId="16" w16cid:durableId="1436515426">
    <w:abstractNumId w:val="5"/>
  </w:num>
  <w:num w:numId="17" w16cid:durableId="1767312311">
    <w:abstractNumId w:val="6"/>
  </w:num>
  <w:num w:numId="18" w16cid:durableId="1283726067">
    <w:abstractNumId w:val="2"/>
  </w:num>
  <w:num w:numId="19" w16cid:durableId="1929343412">
    <w:abstractNumId w:val="22"/>
  </w:num>
  <w:num w:numId="20" w16cid:durableId="2106993971">
    <w:abstractNumId w:val="19"/>
  </w:num>
  <w:num w:numId="21" w16cid:durableId="1097021942">
    <w:abstractNumId w:val="8"/>
  </w:num>
  <w:num w:numId="22" w16cid:durableId="215090990">
    <w:abstractNumId w:val="8"/>
  </w:num>
  <w:num w:numId="23" w16cid:durableId="1328173672">
    <w:abstractNumId w:val="11"/>
  </w:num>
  <w:num w:numId="24" w16cid:durableId="327292471">
    <w:abstractNumId w:val="1"/>
  </w:num>
  <w:num w:numId="25" w16cid:durableId="1162820729">
    <w:abstractNumId w:val="14"/>
  </w:num>
  <w:num w:numId="26" w16cid:durableId="1040933202">
    <w:abstractNumId w:val="20"/>
  </w:num>
  <w:num w:numId="27" w16cid:durableId="1973057691">
    <w:abstractNumId w:val="8"/>
  </w:num>
  <w:num w:numId="28" w16cid:durableId="790250893">
    <w:abstractNumId w:val="8"/>
  </w:num>
  <w:num w:numId="29" w16cid:durableId="1379207338">
    <w:abstractNumId w:val="21"/>
  </w:num>
  <w:num w:numId="30" w16cid:durableId="323818790">
    <w:abstractNumId w:val="0"/>
  </w:num>
  <w:num w:numId="31" w16cid:durableId="920024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60"/>
    <w:rsid w:val="0001043C"/>
    <w:rsid w:val="00041385"/>
    <w:rsid w:val="000656D4"/>
    <w:rsid w:val="000D1801"/>
    <w:rsid w:val="00100B82"/>
    <w:rsid w:val="00122655"/>
    <w:rsid w:val="001364AC"/>
    <w:rsid w:val="001C5DBE"/>
    <w:rsid w:val="002266C6"/>
    <w:rsid w:val="0026581D"/>
    <w:rsid w:val="00293810"/>
    <w:rsid w:val="002C714B"/>
    <w:rsid w:val="002E5CA6"/>
    <w:rsid w:val="003001C4"/>
    <w:rsid w:val="00311310"/>
    <w:rsid w:val="003346EB"/>
    <w:rsid w:val="00336DCE"/>
    <w:rsid w:val="00344F45"/>
    <w:rsid w:val="00364683"/>
    <w:rsid w:val="003978F9"/>
    <w:rsid w:val="00397E8A"/>
    <w:rsid w:val="003B5E60"/>
    <w:rsid w:val="00407B47"/>
    <w:rsid w:val="00412072"/>
    <w:rsid w:val="004173F0"/>
    <w:rsid w:val="0048742A"/>
    <w:rsid w:val="004F2019"/>
    <w:rsid w:val="005272CA"/>
    <w:rsid w:val="00581F38"/>
    <w:rsid w:val="005972A0"/>
    <w:rsid w:val="005B0682"/>
    <w:rsid w:val="005D34FD"/>
    <w:rsid w:val="005D52F5"/>
    <w:rsid w:val="005E5942"/>
    <w:rsid w:val="005F3FE6"/>
    <w:rsid w:val="006004A7"/>
    <w:rsid w:val="00602019"/>
    <w:rsid w:val="00602205"/>
    <w:rsid w:val="006435DE"/>
    <w:rsid w:val="00644409"/>
    <w:rsid w:val="006A2D2F"/>
    <w:rsid w:val="00703AFA"/>
    <w:rsid w:val="0075294A"/>
    <w:rsid w:val="00770FD8"/>
    <w:rsid w:val="00775C38"/>
    <w:rsid w:val="00777B3D"/>
    <w:rsid w:val="007E68F3"/>
    <w:rsid w:val="00816570"/>
    <w:rsid w:val="008373C0"/>
    <w:rsid w:val="0085666E"/>
    <w:rsid w:val="0086555B"/>
    <w:rsid w:val="00891127"/>
    <w:rsid w:val="008A2B81"/>
    <w:rsid w:val="008C1F77"/>
    <w:rsid w:val="008C408E"/>
    <w:rsid w:val="009011F6"/>
    <w:rsid w:val="00902748"/>
    <w:rsid w:val="0090333C"/>
    <w:rsid w:val="00906366"/>
    <w:rsid w:val="009B17D7"/>
    <w:rsid w:val="009C79D7"/>
    <w:rsid w:val="009D19B3"/>
    <w:rsid w:val="00A2175D"/>
    <w:rsid w:val="00A31A2E"/>
    <w:rsid w:val="00AB7ECC"/>
    <w:rsid w:val="00B475D3"/>
    <w:rsid w:val="00B63D0A"/>
    <w:rsid w:val="00B66A9A"/>
    <w:rsid w:val="00B71CAD"/>
    <w:rsid w:val="00B85608"/>
    <w:rsid w:val="00B86D58"/>
    <w:rsid w:val="00BB68DA"/>
    <w:rsid w:val="00BD24B6"/>
    <w:rsid w:val="00BD7C8C"/>
    <w:rsid w:val="00C04DC3"/>
    <w:rsid w:val="00C13C85"/>
    <w:rsid w:val="00C50CFD"/>
    <w:rsid w:val="00CA7D96"/>
    <w:rsid w:val="00CC6BB8"/>
    <w:rsid w:val="00CE44A8"/>
    <w:rsid w:val="00D16AF6"/>
    <w:rsid w:val="00D215D1"/>
    <w:rsid w:val="00D23537"/>
    <w:rsid w:val="00D73960"/>
    <w:rsid w:val="00DA50CE"/>
    <w:rsid w:val="00E10B3C"/>
    <w:rsid w:val="00E21FD2"/>
    <w:rsid w:val="00E3644B"/>
    <w:rsid w:val="00E500A1"/>
    <w:rsid w:val="00E967A6"/>
    <w:rsid w:val="00EA211F"/>
    <w:rsid w:val="00EA3CDA"/>
    <w:rsid w:val="00EE21E7"/>
    <w:rsid w:val="00EE5D28"/>
    <w:rsid w:val="00EF6F12"/>
    <w:rsid w:val="00F00632"/>
    <w:rsid w:val="00F44602"/>
    <w:rsid w:val="00F54F72"/>
    <w:rsid w:val="00FA75E8"/>
    <w:rsid w:val="00FE3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6769"/>
  <w15:docId w15:val="{F0E6C678-CB9C-482C-866D-34D5B3F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semiHidden/>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34"/>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a">
    <w:basedOn w:val="TableNormal"/>
    <w:tblPr>
      <w:tblStyleRowBandSize w:val="1"/>
      <w:tblStyleColBandSize w:val="1"/>
      <w:tblCellMar>
        <w:top w:w="284" w:type="dxa"/>
        <w:left w:w="284" w:type="dxa"/>
        <w:bottom w:w="198" w:type="dxa"/>
        <w:right w:w="284" w:type="dxa"/>
      </w:tblCellMar>
    </w:tblPr>
  </w:style>
  <w:style w:type="character" w:styleId="Lienhypertextesuivivisit">
    <w:name w:val="FollowedHyperlink"/>
    <w:basedOn w:val="Policepardfaut"/>
    <w:uiPriority w:val="99"/>
    <w:semiHidden/>
    <w:unhideWhenUsed/>
    <w:rsid w:val="00775C38"/>
    <w:rPr>
      <w:color w:val="96607D" w:themeColor="followedHyperlink"/>
      <w:u w:val="single"/>
    </w:rPr>
  </w:style>
  <w:style w:type="paragraph" w:styleId="NormalWeb">
    <w:name w:val="Normal (Web)"/>
    <w:basedOn w:val="Normal"/>
    <w:uiPriority w:val="99"/>
    <w:semiHidden/>
    <w:unhideWhenUsed/>
    <w:rsid w:val="00644409"/>
    <w:rPr>
      <w:rFonts w:ascii="Times New Roman" w:hAnsi="Times New Roman" w:cs="Times New Roman"/>
    </w:rPr>
  </w:style>
  <w:style w:type="character" w:styleId="Marquedecommentaire">
    <w:name w:val="annotation reference"/>
    <w:basedOn w:val="Policepardfaut"/>
    <w:uiPriority w:val="99"/>
    <w:semiHidden/>
    <w:unhideWhenUsed/>
    <w:rsid w:val="009011F6"/>
    <w:rPr>
      <w:sz w:val="16"/>
      <w:szCs w:val="16"/>
    </w:rPr>
  </w:style>
  <w:style w:type="paragraph" w:styleId="Commentaire">
    <w:name w:val="annotation text"/>
    <w:basedOn w:val="Normal"/>
    <w:link w:val="CommentaireCar"/>
    <w:uiPriority w:val="99"/>
    <w:unhideWhenUsed/>
    <w:rsid w:val="009011F6"/>
    <w:rPr>
      <w:sz w:val="20"/>
      <w:szCs w:val="20"/>
    </w:rPr>
  </w:style>
  <w:style w:type="character" w:customStyle="1" w:styleId="CommentaireCar">
    <w:name w:val="Commentaire Car"/>
    <w:basedOn w:val="Policepardfaut"/>
    <w:link w:val="Commentaire"/>
    <w:uiPriority w:val="99"/>
    <w:rsid w:val="009011F6"/>
    <w:rPr>
      <w:rFonts w:ascii="Calibri Light" w:hAnsi="Calibri Light" w:cs="Calibri Light"/>
      <w:sz w:val="20"/>
      <w:szCs w:val="20"/>
    </w:rPr>
  </w:style>
  <w:style w:type="paragraph" w:styleId="Objetducommentaire">
    <w:name w:val="annotation subject"/>
    <w:basedOn w:val="Commentaire"/>
    <w:next w:val="Commentaire"/>
    <w:link w:val="ObjetducommentaireCar"/>
    <w:uiPriority w:val="99"/>
    <w:semiHidden/>
    <w:unhideWhenUsed/>
    <w:rsid w:val="009011F6"/>
    <w:rPr>
      <w:b/>
      <w:bCs/>
    </w:rPr>
  </w:style>
  <w:style w:type="character" w:customStyle="1" w:styleId="ObjetducommentaireCar">
    <w:name w:val="Objet du commentaire Car"/>
    <w:basedOn w:val="CommentaireCar"/>
    <w:link w:val="Objetducommentaire"/>
    <w:uiPriority w:val="99"/>
    <w:semiHidden/>
    <w:rsid w:val="009011F6"/>
    <w:rPr>
      <w:rFonts w:ascii="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ecocostsvalue.com/data-tools-books/" TargetMode="External"/><Relationship Id="rId19" Type="http://schemas.openxmlformats.org/officeDocument/2006/relationships/hyperlink" Target="http://contact@fondation-uved.f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EE88A854-1D59-4137-9B86-56B0CE18AE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928</Words>
  <Characters>5107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CALVET</dc:creator>
  <cp:lastModifiedBy>Tatiana Khomenko</cp:lastModifiedBy>
  <cp:revision>54</cp:revision>
  <cp:lastPrinted>2026-05-29T12:08:00Z</cp:lastPrinted>
  <dcterms:created xsi:type="dcterms:W3CDTF">2025-01-30T10:00:00Z</dcterms:created>
  <dcterms:modified xsi:type="dcterms:W3CDTF">2026-06-18T11:42:00Z</dcterms:modified>
</cp:coreProperties>
</file>